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9347657"/>
        <w:docPartObj>
          <w:docPartGallery w:val="Cover Pages"/>
          <w:docPartUnique/>
        </w:docPartObj>
      </w:sdtPr>
      <w:sdtEndPr>
        <w:rPr>
          <w:rFonts w:ascii="Calibri" w:hAnsi="Calibri" w:cs="Arial"/>
          <w:b/>
          <w:bCs/>
          <w:iCs/>
          <w:sz w:val="24"/>
        </w:rPr>
      </w:sdtEndPr>
      <w:sdtContent>
        <w:p w14:paraId="66209149" w14:textId="43734DE5" w:rsidR="00A63C7B" w:rsidRDefault="00A63C7B" w:rsidP="009E73FF">
          <w:pPr>
            <w:spacing w:before="3000"/>
          </w:pPr>
        </w:p>
        <w:tbl>
          <w:tblPr>
            <w:tblStyle w:val="TableGrid"/>
            <w:tblW w:w="0" w:type="auto"/>
            <w:jc w:val="center"/>
            <w:tblLook w:val="04A0" w:firstRow="1" w:lastRow="0" w:firstColumn="1" w:lastColumn="0" w:noHBand="0" w:noVBand="1"/>
            <w:tblDescription w:val="Report title: Biosecurity decision-making in Western Australia: roles and responsibilities. Results of stakeholder engagement"/>
          </w:tblPr>
          <w:tblGrid>
            <w:gridCol w:w="7479"/>
          </w:tblGrid>
          <w:tr w:rsidR="0079039E" w14:paraId="2D64446F" w14:textId="77777777" w:rsidTr="00A63C7B">
            <w:trPr>
              <w:cantSplit/>
              <w:tblHeader/>
              <w:jc w:val="center"/>
            </w:trPr>
            <w:tc>
              <w:tcPr>
                <w:tcW w:w="7479" w:type="dxa"/>
              </w:tcPr>
              <w:p w14:paraId="61E1C58B" w14:textId="06B74607" w:rsidR="0079039E" w:rsidRPr="00A63C7B" w:rsidRDefault="00A63C7B" w:rsidP="00A63C7B">
                <w:pPr>
                  <w:pStyle w:val="NoSpacing"/>
                  <w:rPr>
                    <w:rFonts w:ascii="Arial" w:hAnsi="Arial" w:cs="Arial"/>
                    <w:sz w:val="80"/>
                    <w:szCs w:val="80"/>
                  </w:rPr>
                </w:pPr>
                <w:r w:rsidRPr="00A63C7B">
                  <w:rPr>
                    <w:rFonts w:ascii="Arial" w:hAnsi="Arial" w:cs="Arial"/>
                    <w:color w:val="4F6228"/>
                    <w:sz w:val="80"/>
                    <w:szCs w:val="80"/>
                  </w:rPr>
                  <w:t>Biosecurity decision-making in Western Australia: roles and responsibilities</w:t>
                </w:r>
              </w:p>
            </w:tc>
          </w:tr>
          <w:tr w:rsidR="0079039E" w14:paraId="362AE5F7" w14:textId="77777777" w:rsidTr="00A63C7B">
            <w:trPr>
              <w:cantSplit/>
              <w:jc w:val="center"/>
            </w:trPr>
            <w:sdt>
              <w:sdtPr>
                <w:rPr>
                  <w:rFonts w:eastAsiaTheme="majorEastAsia" w:cs="Arial"/>
                  <w:sz w:val="36"/>
                </w:rPr>
                <w:alias w:val="Subtitle"/>
                <w:id w:val="1546651418"/>
                <w:dataBinding w:prefixMappings="xmlns:ns0='http://schemas.openxmlformats.org/package/2006/metadata/core-properties' xmlns:ns1='http://purl.org/dc/elements/1.1/'" w:xpath="/ns0:coreProperties[1]/ns1:subject[1]" w:storeItemID="{6C3C8BC8-F283-45AE-878A-BAB7291924A1}"/>
                <w:text/>
              </w:sdtPr>
              <w:sdtEndPr/>
              <w:sdtContent>
                <w:tc>
                  <w:tcPr>
                    <w:tcW w:w="7479" w:type="dxa"/>
                  </w:tcPr>
                  <w:p w14:paraId="7AA20F1E" w14:textId="6671CE69" w:rsidR="0079039E" w:rsidRDefault="0079039E" w:rsidP="00F85F27">
                    <w:r w:rsidRPr="0079039E">
                      <w:rPr>
                        <w:rFonts w:eastAsiaTheme="majorEastAsia" w:cs="Arial"/>
                        <w:sz w:val="36"/>
                      </w:rPr>
                      <w:t>Results of stakeholder engagement</w:t>
                    </w:r>
                  </w:p>
                </w:tc>
              </w:sdtContent>
            </w:sdt>
          </w:tr>
        </w:tbl>
        <w:p w14:paraId="37505D30" w14:textId="77777777" w:rsidR="00A63C7B" w:rsidRDefault="00A63C7B" w:rsidP="00F85F27">
          <w:pPr>
            <w:spacing w:line="240" w:lineRule="auto"/>
            <w:rPr>
              <w:rFonts w:ascii="Calibri" w:hAnsi="Calibri" w:cs="Arial"/>
              <w:bCs/>
              <w:iCs/>
              <w:sz w:val="24"/>
            </w:rPr>
            <w:sectPr w:rsidR="00A63C7B" w:rsidSect="0066303F">
              <w:footerReference w:type="default" r:id="rId10"/>
              <w:headerReference w:type="first" r:id="rId11"/>
              <w:footerReference w:type="first" r:id="rId12"/>
              <w:type w:val="continuous"/>
              <w:pgSz w:w="11907" w:h="16840" w:code="9"/>
              <w:pgMar w:top="1440" w:right="1440" w:bottom="1440" w:left="1440" w:header="709" w:footer="709" w:gutter="0"/>
              <w:pgNumType w:start="1"/>
              <w:cols w:space="708"/>
              <w:titlePg/>
              <w:docGrid w:linePitch="360"/>
            </w:sectPr>
          </w:pPr>
        </w:p>
        <w:p w14:paraId="6656B79B" w14:textId="77777777" w:rsidR="00973438" w:rsidRDefault="00973438" w:rsidP="00F85F27">
          <w:pPr>
            <w:rPr>
              <w:rFonts w:ascii="Calibri" w:hAnsi="Calibri" w:cs="Arial"/>
              <w:bCs/>
              <w:iCs/>
              <w:sz w:val="24"/>
            </w:rPr>
          </w:pPr>
        </w:p>
        <w:p w14:paraId="76988023" w14:textId="77777777" w:rsidR="00190F6F" w:rsidRDefault="00190F6F">
          <w:pPr>
            <w:spacing w:before="0" w:line="240" w:lineRule="auto"/>
            <w:jc w:val="center"/>
            <w:rPr>
              <w:rFonts w:cs="Arial"/>
              <w:bCs/>
              <w:iCs/>
            </w:rPr>
            <w:sectPr w:rsidR="00190F6F" w:rsidSect="0066303F">
              <w:headerReference w:type="first" r:id="rId13"/>
              <w:type w:val="continuous"/>
              <w:pgSz w:w="11907" w:h="16840" w:code="9"/>
              <w:pgMar w:top="1134" w:right="1440" w:bottom="1135" w:left="1440" w:header="709" w:footer="559" w:gutter="0"/>
              <w:pgNumType w:start="1"/>
              <w:cols w:space="708"/>
              <w:titlePg/>
              <w:docGrid w:linePitch="360"/>
            </w:sectPr>
          </w:pPr>
        </w:p>
        <w:p w14:paraId="4F1A2041" w14:textId="5378A810" w:rsidR="002E4F60" w:rsidRDefault="002E4F60">
          <w:pPr>
            <w:spacing w:before="0" w:line="240" w:lineRule="auto"/>
            <w:jc w:val="center"/>
            <w:rPr>
              <w:rFonts w:cs="Arial"/>
              <w:bCs/>
              <w:iCs/>
            </w:rPr>
          </w:pPr>
        </w:p>
        <w:p w14:paraId="27CE9046" w14:textId="52242130" w:rsidR="00173FF4" w:rsidRPr="00CD142D" w:rsidRDefault="00435F0D" w:rsidP="00F85F27">
          <w:pPr>
            <w:rPr>
              <w:rFonts w:cs="Arial"/>
              <w:bCs/>
              <w:iCs/>
            </w:rPr>
          </w:pPr>
          <w:r w:rsidRPr="00CD142D">
            <w:rPr>
              <w:rFonts w:cs="Arial"/>
              <w:bCs/>
              <w:iCs/>
            </w:rPr>
            <w:t xml:space="preserve">This </w:t>
          </w:r>
          <w:r w:rsidR="00473C45" w:rsidRPr="00CD142D">
            <w:rPr>
              <w:rFonts w:cs="Arial"/>
              <w:bCs/>
              <w:iCs/>
            </w:rPr>
            <w:t>report</w:t>
          </w:r>
          <w:r w:rsidRPr="00CD142D">
            <w:rPr>
              <w:rFonts w:cs="Arial"/>
              <w:bCs/>
              <w:iCs/>
            </w:rPr>
            <w:t xml:space="preserve"> was </w:t>
          </w:r>
          <w:r w:rsidR="00473C45" w:rsidRPr="00CD142D">
            <w:rPr>
              <w:rFonts w:cs="Arial"/>
              <w:bCs/>
              <w:iCs/>
            </w:rPr>
            <w:t>prepared</w:t>
          </w:r>
          <w:r w:rsidRPr="00CD142D">
            <w:rPr>
              <w:rFonts w:cs="Arial"/>
              <w:bCs/>
              <w:iCs/>
            </w:rPr>
            <w:t xml:space="preserve"> by the Biosecuri</w:t>
          </w:r>
          <w:r w:rsidR="00473C45" w:rsidRPr="00CD142D">
            <w:rPr>
              <w:rFonts w:cs="Arial"/>
              <w:bCs/>
              <w:iCs/>
            </w:rPr>
            <w:t>ty Council of Western Australia</w:t>
          </w:r>
          <w:r w:rsidR="00173FF4" w:rsidRPr="00CD142D">
            <w:rPr>
              <w:rFonts w:cs="Arial"/>
              <w:bCs/>
              <w:iCs/>
            </w:rPr>
            <w:t xml:space="preserve">. Input to the report was sought from the Biosecurity </w:t>
          </w:r>
          <w:r w:rsidR="00BD292E" w:rsidRPr="00CD142D">
            <w:rPr>
              <w:rFonts w:cs="Arial"/>
              <w:bCs/>
              <w:iCs/>
            </w:rPr>
            <w:t>Senior Officers Group</w:t>
          </w:r>
          <w:r w:rsidR="00173FF4" w:rsidRPr="00CD142D">
            <w:rPr>
              <w:rFonts w:cs="Arial"/>
              <w:bCs/>
              <w:iCs/>
            </w:rPr>
            <w:t>, Industry Funding Scheme committees, Forest Industries Federation of Western Australia, Pastoral Lands Board and World Wildlife Fund (WA).</w:t>
          </w:r>
        </w:p>
        <w:p w14:paraId="3A81948A" w14:textId="14B46CEB" w:rsidR="00473C45" w:rsidRPr="00CD142D" w:rsidRDefault="00473C45" w:rsidP="00F85F27">
          <w:pPr>
            <w:rPr>
              <w:rFonts w:cs="Arial"/>
              <w:bCs/>
              <w:iCs/>
            </w:rPr>
          </w:pPr>
        </w:p>
        <w:p w14:paraId="182C3413" w14:textId="4A8791FC" w:rsidR="00473C45" w:rsidRPr="00CD142D" w:rsidRDefault="00173FF4" w:rsidP="00F85F27">
          <w:pPr>
            <w:rPr>
              <w:rFonts w:cs="Arial"/>
              <w:b/>
              <w:bCs/>
              <w:iCs/>
            </w:rPr>
          </w:pPr>
          <w:r w:rsidRPr="00CD142D">
            <w:rPr>
              <w:rFonts w:cs="Arial"/>
              <w:bCs/>
              <w:iCs/>
            </w:rPr>
            <w:t xml:space="preserve">December </w:t>
          </w:r>
          <w:r w:rsidR="00473C45" w:rsidRPr="00CD142D">
            <w:rPr>
              <w:rFonts w:cs="Arial"/>
              <w:bCs/>
              <w:iCs/>
            </w:rPr>
            <w:t>2014</w:t>
          </w:r>
        </w:p>
        <w:p w14:paraId="49177EDA" w14:textId="77777777" w:rsidR="00190F6F" w:rsidRDefault="00190F6F" w:rsidP="00F85F27">
          <w:pPr>
            <w:rPr>
              <w:rFonts w:eastAsiaTheme="majorEastAsia" w:cs="Arial"/>
            </w:rPr>
            <w:sectPr w:rsidR="00190F6F" w:rsidSect="00190F6F">
              <w:pgSz w:w="11907" w:h="16840" w:code="9"/>
              <w:pgMar w:top="12758" w:right="1440" w:bottom="1135" w:left="1440" w:header="709" w:footer="559" w:gutter="0"/>
              <w:pgNumType w:start="1"/>
              <w:cols w:space="708"/>
              <w:titlePg/>
              <w:docGrid w:linePitch="360"/>
            </w:sectPr>
          </w:pPr>
        </w:p>
        <w:p w14:paraId="11FAF2B3" w14:textId="77777777" w:rsidR="00803872" w:rsidRDefault="00E357DD" w:rsidP="00F85F27">
          <w:pPr>
            <w:rPr>
              <w:rFonts w:ascii="Calibri" w:hAnsi="Calibri" w:cs="Arial"/>
              <w:b/>
              <w:bCs/>
              <w:iCs/>
              <w:sz w:val="24"/>
            </w:rPr>
          </w:pPr>
        </w:p>
      </w:sdtContent>
    </w:sdt>
    <w:sdt>
      <w:sdtPr>
        <w:rPr>
          <w:rFonts w:eastAsiaTheme="minorHAnsi" w:cstheme="minorBidi"/>
          <w:b w:val="0"/>
          <w:bCs w:val="0"/>
          <w:color w:val="auto"/>
          <w:sz w:val="22"/>
          <w:szCs w:val="22"/>
          <w:lang w:val="en-AU"/>
        </w:rPr>
        <w:id w:val="22865149"/>
        <w:docPartObj>
          <w:docPartGallery w:val="Table of Contents"/>
          <w:docPartUnique/>
        </w:docPartObj>
      </w:sdtPr>
      <w:sdtEndPr/>
      <w:sdtContent>
        <w:p w14:paraId="633D7419" w14:textId="77777777" w:rsidR="00A85734" w:rsidRDefault="00A85734" w:rsidP="006440A8">
          <w:pPr>
            <w:pStyle w:val="TOCHeading"/>
            <w:numPr>
              <w:ilvl w:val="0"/>
              <w:numId w:val="0"/>
            </w:numPr>
          </w:pPr>
          <w:r>
            <w:t>Contents</w:t>
          </w:r>
        </w:p>
        <w:p w14:paraId="1D058839" w14:textId="6E35F25D" w:rsidR="002F641B" w:rsidRDefault="00882CD5">
          <w:pPr>
            <w:pStyle w:val="TOC1"/>
            <w:tabs>
              <w:tab w:val="right" w:leader="dot" w:pos="9017"/>
            </w:tabs>
            <w:rPr>
              <w:rFonts w:asciiTheme="minorHAnsi" w:eastAsiaTheme="minorEastAsia" w:hAnsiTheme="minorHAnsi"/>
              <w:noProof/>
              <w:lang w:eastAsia="en-AU"/>
            </w:rPr>
          </w:pPr>
          <w:r w:rsidRPr="00CD142D">
            <w:fldChar w:fldCharType="begin"/>
          </w:r>
          <w:r w:rsidR="00A85734" w:rsidRPr="00CD142D">
            <w:instrText xml:space="preserve"> TOC \o "1-3" \h \z \u </w:instrText>
          </w:r>
          <w:r w:rsidRPr="00CD142D">
            <w:fldChar w:fldCharType="separate"/>
          </w:r>
          <w:hyperlink w:anchor="_Toc411452981" w:history="1">
            <w:r w:rsidR="002F641B" w:rsidRPr="00313DB2">
              <w:rPr>
                <w:rStyle w:val="Hyperlink"/>
                <w:noProof/>
              </w:rPr>
              <w:t>Executive summary</w:t>
            </w:r>
            <w:r w:rsidR="002F641B">
              <w:rPr>
                <w:noProof/>
                <w:webHidden/>
              </w:rPr>
              <w:tab/>
            </w:r>
            <w:r w:rsidR="002F641B">
              <w:rPr>
                <w:noProof/>
                <w:webHidden/>
              </w:rPr>
              <w:fldChar w:fldCharType="begin"/>
            </w:r>
            <w:r w:rsidR="002F641B">
              <w:rPr>
                <w:noProof/>
                <w:webHidden/>
              </w:rPr>
              <w:instrText xml:space="preserve"> PAGEREF _Toc411452981 \h </w:instrText>
            </w:r>
            <w:r w:rsidR="002F641B">
              <w:rPr>
                <w:noProof/>
                <w:webHidden/>
              </w:rPr>
            </w:r>
            <w:r w:rsidR="002F641B">
              <w:rPr>
                <w:noProof/>
                <w:webHidden/>
              </w:rPr>
              <w:fldChar w:fldCharType="separate"/>
            </w:r>
            <w:r w:rsidR="006440A8">
              <w:rPr>
                <w:noProof/>
                <w:webHidden/>
              </w:rPr>
              <w:t>3</w:t>
            </w:r>
            <w:r w:rsidR="002F641B">
              <w:rPr>
                <w:noProof/>
                <w:webHidden/>
              </w:rPr>
              <w:fldChar w:fldCharType="end"/>
            </w:r>
          </w:hyperlink>
        </w:p>
        <w:p w14:paraId="7847B65D" w14:textId="77777777" w:rsidR="002F641B" w:rsidRDefault="00E357DD">
          <w:pPr>
            <w:pStyle w:val="TOC1"/>
            <w:tabs>
              <w:tab w:val="left" w:pos="440"/>
              <w:tab w:val="right" w:leader="dot" w:pos="9017"/>
            </w:tabs>
            <w:rPr>
              <w:rFonts w:asciiTheme="minorHAnsi" w:eastAsiaTheme="minorEastAsia" w:hAnsiTheme="minorHAnsi"/>
              <w:noProof/>
              <w:lang w:eastAsia="en-AU"/>
            </w:rPr>
          </w:pPr>
          <w:hyperlink w:anchor="_Toc411452982" w:history="1">
            <w:r w:rsidR="002F641B" w:rsidRPr="00313DB2">
              <w:rPr>
                <w:rStyle w:val="Hyperlink"/>
                <w:noProof/>
              </w:rPr>
              <w:t>1</w:t>
            </w:r>
            <w:r w:rsidR="002F641B">
              <w:rPr>
                <w:rFonts w:asciiTheme="minorHAnsi" w:eastAsiaTheme="minorEastAsia" w:hAnsiTheme="minorHAnsi"/>
                <w:noProof/>
                <w:lang w:eastAsia="en-AU"/>
              </w:rPr>
              <w:tab/>
            </w:r>
            <w:r w:rsidR="002F641B" w:rsidRPr="00313DB2">
              <w:rPr>
                <w:rStyle w:val="Hyperlink"/>
                <w:noProof/>
              </w:rPr>
              <w:t>Introduction</w:t>
            </w:r>
            <w:r w:rsidR="002F641B">
              <w:rPr>
                <w:noProof/>
                <w:webHidden/>
              </w:rPr>
              <w:tab/>
            </w:r>
            <w:r w:rsidR="002F641B">
              <w:rPr>
                <w:noProof/>
                <w:webHidden/>
              </w:rPr>
              <w:fldChar w:fldCharType="begin"/>
            </w:r>
            <w:r w:rsidR="002F641B">
              <w:rPr>
                <w:noProof/>
                <w:webHidden/>
              </w:rPr>
              <w:instrText xml:space="preserve"> PAGEREF _Toc411452982 \h </w:instrText>
            </w:r>
            <w:r w:rsidR="002F641B">
              <w:rPr>
                <w:noProof/>
                <w:webHidden/>
              </w:rPr>
            </w:r>
            <w:r w:rsidR="002F641B">
              <w:rPr>
                <w:noProof/>
                <w:webHidden/>
              </w:rPr>
              <w:fldChar w:fldCharType="separate"/>
            </w:r>
            <w:r w:rsidR="006440A8">
              <w:rPr>
                <w:noProof/>
                <w:webHidden/>
              </w:rPr>
              <w:t>5</w:t>
            </w:r>
            <w:r w:rsidR="002F641B">
              <w:rPr>
                <w:noProof/>
                <w:webHidden/>
              </w:rPr>
              <w:fldChar w:fldCharType="end"/>
            </w:r>
          </w:hyperlink>
        </w:p>
        <w:p w14:paraId="722C0ECF" w14:textId="77777777" w:rsidR="002F641B" w:rsidRDefault="00E357DD">
          <w:pPr>
            <w:pStyle w:val="TOC2"/>
            <w:tabs>
              <w:tab w:val="left" w:pos="880"/>
              <w:tab w:val="right" w:leader="dot" w:pos="9017"/>
            </w:tabs>
            <w:rPr>
              <w:rFonts w:asciiTheme="minorHAnsi" w:eastAsiaTheme="minorEastAsia" w:hAnsiTheme="minorHAnsi"/>
              <w:noProof/>
              <w:lang w:eastAsia="en-AU"/>
            </w:rPr>
          </w:pPr>
          <w:hyperlink w:anchor="_Toc411452983" w:history="1">
            <w:r w:rsidR="002F641B" w:rsidRPr="00313DB2">
              <w:rPr>
                <w:rStyle w:val="Hyperlink"/>
                <w:noProof/>
              </w:rPr>
              <w:t>1.1</w:t>
            </w:r>
            <w:r w:rsidR="002F641B">
              <w:rPr>
                <w:rFonts w:asciiTheme="minorHAnsi" w:eastAsiaTheme="minorEastAsia" w:hAnsiTheme="minorHAnsi"/>
                <w:noProof/>
                <w:lang w:eastAsia="en-AU"/>
              </w:rPr>
              <w:tab/>
            </w:r>
            <w:r w:rsidR="002F641B" w:rsidRPr="00313DB2">
              <w:rPr>
                <w:rStyle w:val="Hyperlink"/>
                <w:noProof/>
              </w:rPr>
              <w:t>Background</w:t>
            </w:r>
            <w:r w:rsidR="002F641B">
              <w:rPr>
                <w:noProof/>
                <w:webHidden/>
              </w:rPr>
              <w:tab/>
            </w:r>
            <w:r w:rsidR="002F641B">
              <w:rPr>
                <w:noProof/>
                <w:webHidden/>
              </w:rPr>
              <w:fldChar w:fldCharType="begin"/>
            </w:r>
            <w:r w:rsidR="002F641B">
              <w:rPr>
                <w:noProof/>
                <w:webHidden/>
              </w:rPr>
              <w:instrText xml:space="preserve"> PAGEREF _Toc411452983 \h </w:instrText>
            </w:r>
            <w:r w:rsidR="002F641B">
              <w:rPr>
                <w:noProof/>
                <w:webHidden/>
              </w:rPr>
            </w:r>
            <w:r w:rsidR="002F641B">
              <w:rPr>
                <w:noProof/>
                <w:webHidden/>
              </w:rPr>
              <w:fldChar w:fldCharType="separate"/>
            </w:r>
            <w:r w:rsidR="006440A8">
              <w:rPr>
                <w:noProof/>
                <w:webHidden/>
              </w:rPr>
              <w:t>5</w:t>
            </w:r>
            <w:r w:rsidR="002F641B">
              <w:rPr>
                <w:noProof/>
                <w:webHidden/>
              </w:rPr>
              <w:fldChar w:fldCharType="end"/>
            </w:r>
          </w:hyperlink>
        </w:p>
        <w:p w14:paraId="1F411350" w14:textId="77777777" w:rsidR="002F641B" w:rsidRDefault="00E357DD">
          <w:pPr>
            <w:pStyle w:val="TOC2"/>
            <w:tabs>
              <w:tab w:val="left" w:pos="880"/>
              <w:tab w:val="right" w:leader="dot" w:pos="9017"/>
            </w:tabs>
            <w:rPr>
              <w:rFonts w:asciiTheme="minorHAnsi" w:eastAsiaTheme="minorEastAsia" w:hAnsiTheme="minorHAnsi"/>
              <w:noProof/>
              <w:lang w:eastAsia="en-AU"/>
            </w:rPr>
          </w:pPr>
          <w:hyperlink w:anchor="_Toc411452984" w:history="1">
            <w:r w:rsidR="002F641B" w:rsidRPr="00313DB2">
              <w:rPr>
                <w:rStyle w:val="Hyperlink"/>
                <w:noProof/>
              </w:rPr>
              <w:t>1.2</w:t>
            </w:r>
            <w:r w:rsidR="002F641B">
              <w:rPr>
                <w:rFonts w:asciiTheme="minorHAnsi" w:eastAsiaTheme="minorEastAsia" w:hAnsiTheme="minorHAnsi"/>
                <w:noProof/>
                <w:lang w:eastAsia="en-AU"/>
              </w:rPr>
              <w:tab/>
            </w:r>
            <w:r w:rsidR="002F641B" w:rsidRPr="00313DB2">
              <w:rPr>
                <w:rStyle w:val="Hyperlink"/>
                <w:noProof/>
              </w:rPr>
              <w:t>Purpose</w:t>
            </w:r>
            <w:r w:rsidR="002F641B">
              <w:rPr>
                <w:noProof/>
                <w:webHidden/>
              </w:rPr>
              <w:tab/>
            </w:r>
            <w:r w:rsidR="002F641B">
              <w:rPr>
                <w:noProof/>
                <w:webHidden/>
              </w:rPr>
              <w:fldChar w:fldCharType="begin"/>
            </w:r>
            <w:r w:rsidR="002F641B">
              <w:rPr>
                <w:noProof/>
                <w:webHidden/>
              </w:rPr>
              <w:instrText xml:space="preserve"> PAGEREF _Toc411452984 \h </w:instrText>
            </w:r>
            <w:r w:rsidR="002F641B">
              <w:rPr>
                <w:noProof/>
                <w:webHidden/>
              </w:rPr>
            </w:r>
            <w:r w:rsidR="002F641B">
              <w:rPr>
                <w:noProof/>
                <w:webHidden/>
              </w:rPr>
              <w:fldChar w:fldCharType="separate"/>
            </w:r>
            <w:r w:rsidR="006440A8">
              <w:rPr>
                <w:noProof/>
                <w:webHidden/>
              </w:rPr>
              <w:t>5</w:t>
            </w:r>
            <w:r w:rsidR="002F641B">
              <w:rPr>
                <w:noProof/>
                <w:webHidden/>
              </w:rPr>
              <w:fldChar w:fldCharType="end"/>
            </w:r>
          </w:hyperlink>
        </w:p>
        <w:p w14:paraId="1E8E9E22" w14:textId="77777777" w:rsidR="002F641B" w:rsidRDefault="00E357DD">
          <w:pPr>
            <w:pStyle w:val="TOC1"/>
            <w:tabs>
              <w:tab w:val="left" w:pos="440"/>
              <w:tab w:val="right" w:leader="dot" w:pos="9017"/>
            </w:tabs>
            <w:rPr>
              <w:rFonts w:asciiTheme="minorHAnsi" w:eastAsiaTheme="minorEastAsia" w:hAnsiTheme="minorHAnsi"/>
              <w:noProof/>
              <w:lang w:eastAsia="en-AU"/>
            </w:rPr>
          </w:pPr>
          <w:hyperlink w:anchor="_Toc411452985" w:history="1">
            <w:r w:rsidR="002F641B" w:rsidRPr="00313DB2">
              <w:rPr>
                <w:rStyle w:val="Hyperlink"/>
                <w:noProof/>
              </w:rPr>
              <w:t>2</w:t>
            </w:r>
            <w:r w:rsidR="002F641B">
              <w:rPr>
                <w:rFonts w:asciiTheme="minorHAnsi" w:eastAsiaTheme="minorEastAsia" w:hAnsiTheme="minorHAnsi"/>
                <w:noProof/>
                <w:lang w:eastAsia="en-AU"/>
              </w:rPr>
              <w:tab/>
            </w:r>
            <w:r w:rsidR="002F641B" w:rsidRPr="00313DB2">
              <w:rPr>
                <w:rStyle w:val="Hyperlink"/>
                <w:noProof/>
              </w:rPr>
              <w:t>Methods</w:t>
            </w:r>
            <w:r w:rsidR="002F641B">
              <w:rPr>
                <w:noProof/>
                <w:webHidden/>
              </w:rPr>
              <w:tab/>
            </w:r>
            <w:r w:rsidR="002F641B">
              <w:rPr>
                <w:noProof/>
                <w:webHidden/>
              </w:rPr>
              <w:fldChar w:fldCharType="begin"/>
            </w:r>
            <w:r w:rsidR="002F641B">
              <w:rPr>
                <w:noProof/>
                <w:webHidden/>
              </w:rPr>
              <w:instrText xml:space="preserve"> PAGEREF _Toc411452985 \h </w:instrText>
            </w:r>
            <w:r w:rsidR="002F641B">
              <w:rPr>
                <w:noProof/>
                <w:webHidden/>
              </w:rPr>
            </w:r>
            <w:r w:rsidR="002F641B">
              <w:rPr>
                <w:noProof/>
                <w:webHidden/>
              </w:rPr>
              <w:fldChar w:fldCharType="separate"/>
            </w:r>
            <w:r w:rsidR="006440A8">
              <w:rPr>
                <w:noProof/>
                <w:webHidden/>
              </w:rPr>
              <w:t>6</w:t>
            </w:r>
            <w:r w:rsidR="002F641B">
              <w:rPr>
                <w:noProof/>
                <w:webHidden/>
              </w:rPr>
              <w:fldChar w:fldCharType="end"/>
            </w:r>
          </w:hyperlink>
        </w:p>
        <w:p w14:paraId="60554F6C" w14:textId="77777777" w:rsidR="002F641B" w:rsidRDefault="00E357DD">
          <w:pPr>
            <w:pStyle w:val="TOC2"/>
            <w:tabs>
              <w:tab w:val="left" w:pos="880"/>
              <w:tab w:val="right" w:leader="dot" w:pos="9017"/>
            </w:tabs>
            <w:rPr>
              <w:rFonts w:asciiTheme="minorHAnsi" w:eastAsiaTheme="minorEastAsia" w:hAnsiTheme="minorHAnsi"/>
              <w:noProof/>
              <w:lang w:eastAsia="en-AU"/>
            </w:rPr>
          </w:pPr>
          <w:hyperlink w:anchor="_Toc411452986" w:history="1">
            <w:r w:rsidR="002F641B" w:rsidRPr="00313DB2">
              <w:rPr>
                <w:rStyle w:val="Hyperlink"/>
                <w:noProof/>
              </w:rPr>
              <w:t>2.1</w:t>
            </w:r>
            <w:r w:rsidR="002F641B">
              <w:rPr>
                <w:rFonts w:asciiTheme="minorHAnsi" w:eastAsiaTheme="minorEastAsia" w:hAnsiTheme="minorHAnsi"/>
                <w:noProof/>
                <w:lang w:eastAsia="en-AU"/>
              </w:rPr>
              <w:tab/>
            </w:r>
            <w:r w:rsidR="002F641B" w:rsidRPr="00313DB2">
              <w:rPr>
                <w:rStyle w:val="Hyperlink"/>
                <w:noProof/>
              </w:rPr>
              <w:t>Stakeholders</w:t>
            </w:r>
            <w:r w:rsidR="002F641B">
              <w:rPr>
                <w:noProof/>
                <w:webHidden/>
              </w:rPr>
              <w:tab/>
            </w:r>
            <w:r w:rsidR="002F641B">
              <w:rPr>
                <w:noProof/>
                <w:webHidden/>
              </w:rPr>
              <w:fldChar w:fldCharType="begin"/>
            </w:r>
            <w:r w:rsidR="002F641B">
              <w:rPr>
                <w:noProof/>
                <w:webHidden/>
              </w:rPr>
              <w:instrText xml:space="preserve"> PAGEREF _Toc411452986 \h </w:instrText>
            </w:r>
            <w:r w:rsidR="002F641B">
              <w:rPr>
                <w:noProof/>
                <w:webHidden/>
              </w:rPr>
            </w:r>
            <w:r w:rsidR="002F641B">
              <w:rPr>
                <w:noProof/>
                <w:webHidden/>
              </w:rPr>
              <w:fldChar w:fldCharType="separate"/>
            </w:r>
            <w:r w:rsidR="006440A8">
              <w:rPr>
                <w:noProof/>
                <w:webHidden/>
              </w:rPr>
              <w:t>6</w:t>
            </w:r>
            <w:r w:rsidR="002F641B">
              <w:rPr>
                <w:noProof/>
                <w:webHidden/>
              </w:rPr>
              <w:fldChar w:fldCharType="end"/>
            </w:r>
          </w:hyperlink>
        </w:p>
        <w:p w14:paraId="43D4D09B" w14:textId="77777777" w:rsidR="002F641B" w:rsidRDefault="00E357DD">
          <w:pPr>
            <w:pStyle w:val="TOC2"/>
            <w:tabs>
              <w:tab w:val="left" w:pos="880"/>
              <w:tab w:val="right" w:leader="dot" w:pos="9017"/>
            </w:tabs>
            <w:rPr>
              <w:rFonts w:asciiTheme="minorHAnsi" w:eastAsiaTheme="minorEastAsia" w:hAnsiTheme="minorHAnsi"/>
              <w:noProof/>
              <w:lang w:eastAsia="en-AU"/>
            </w:rPr>
          </w:pPr>
          <w:hyperlink w:anchor="_Toc411452987" w:history="1">
            <w:r w:rsidR="002F641B" w:rsidRPr="00313DB2">
              <w:rPr>
                <w:rStyle w:val="Hyperlink"/>
                <w:noProof/>
              </w:rPr>
              <w:t>2.2</w:t>
            </w:r>
            <w:r w:rsidR="002F641B">
              <w:rPr>
                <w:rFonts w:asciiTheme="minorHAnsi" w:eastAsiaTheme="minorEastAsia" w:hAnsiTheme="minorHAnsi"/>
                <w:noProof/>
                <w:lang w:eastAsia="en-AU"/>
              </w:rPr>
              <w:tab/>
            </w:r>
            <w:r w:rsidR="002F641B" w:rsidRPr="00313DB2">
              <w:rPr>
                <w:rStyle w:val="Hyperlink"/>
                <w:noProof/>
              </w:rPr>
              <w:t>Phase 1 – stakeholder discussions</w:t>
            </w:r>
            <w:r w:rsidR="002F641B">
              <w:rPr>
                <w:noProof/>
                <w:webHidden/>
              </w:rPr>
              <w:tab/>
            </w:r>
            <w:r w:rsidR="002F641B">
              <w:rPr>
                <w:noProof/>
                <w:webHidden/>
              </w:rPr>
              <w:fldChar w:fldCharType="begin"/>
            </w:r>
            <w:r w:rsidR="002F641B">
              <w:rPr>
                <w:noProof/>
                <w:webHidden/>
              </w:rPr>
              <w:instrText xml:space="preserve"> PAGEREF _Toc411452987 \h </w:instrText>
            </w:r>
            <w:r w:rsidR="002F641B">
              <w:rPr>
                <w:noProof/>
                <w:webHidden/>
              </w:rPr>
            </w:r>
            <w:r w:rsidR="002F641B">
              <w:rPr>
                <w:noProof/>
                <w:webHidden/>
              </w:rPr>
              <w:fldChar w:fldCharType="separate"/>
            </w:r>
            <w:r w:rsidR="006440A8">
              <w:rPr>
                <w:noProof/>
                <w:webHidden/>
              </w:rPr>
              <w:t>6</w:t>
            </w:r>
            <w:r w:rsidR="002F641B">
              <w:rPr>
                <w:noProof/>
                <w:webHidden/>
              </w:rPr>
              <w:fldChar w:fldCharType="end"/>
            </w:r>
          </w:hyperlink>
        </w:p>
        <w:p w14:paraId="56539323" w14:textId="77777777" w:rsidR="002F641B" w:rsidRDefault="00E357DD">
          <w:pPr>
            <w:pStyle w:val="TOC3"/>
            <w:tabs>
              <w:tab w:val="left" w:pos="1320"/>
              <w:tab w:val="right" w:leader="dot" w:pos="9017"/>
            </w:tabs>
            <w:rPr>
              <w:rFonts w:asciiTheme="minorHAnsi" w:eastAsiaTheme="minorEastAsia" w:hAnsiTheme="minorHAnsi"/>
              <w:noProof/>
              <w:lang w:eastAsia="en-AU"/>
            </w:rPr>
          </w:pPr>
          <w:hyperlink w:anchor="_Toc411452988" w:history="1">
            <w:r w:rsidR="002F641B" w:rsidRPr="00313DB2">
              <w:rPr>
                <w:rStyle w:val="Hyperlink"/>
                <w:noProof/>
              </w:rPr>
              <w:t>2.2.1</w:t>
            </w:r>
            <w:r w:rsidR="002F641B">
              <w:rPr>
                <w:rFonts w:asciiTheme="minorHAnsi" w:eastAsiaTheme="minorEastAsia" w:hAnsiTheme="minorHAnsi"/>
                <w:noProof/>
                <w:lang w:eastAsia="en-AU"/>
              </w:rPr>
              <w:tab/>
            </w:r>
            <w:r w:rsidR="002F641B" w:rsidRPr="00313DB2">
              <w:rPr>
                <w:rStyle w:val="Hyperlink"/>
                <w:noProof/>
              </w:rPr>
              <w:t>Data collection</w:t>
            </w:r>
            <w:r w:rsidR="002F641B">
              <w:rPr>
                <w:noProof/>
                <w:webHidden/>
              </w:rPr>
              <w:tab/>
            </w:r>
            <w:r w:rsidR="002F641B">
              <w:rPr>
                <w:noProof/>
                <w:webHidden/>
              </w:rPr>
              <w:fldChar w:fldCharType="begin"/>
            </w:r>
            <w:r w:rsidR="002F641B">
              <w:rPr>
                <w:noProof/>
                <w:webHidden/>
              </w:rPr>
              <w:instrText xml:space="preserve"> PAGEREF _Toc411452988 \h </w:instrText>
            </w:r>
            <w:r w:rsidR="002F641B">
              <w:rPr>
                <w:noProof/>
                <w:webHidden/>
              </w:rPr>
            </w:r>
            <w:r w:rsidR="002F641B">
              <w:rPr>
                <w:noProof/>
                <w:webHidden/>
              </w:rPr>
              <w:fldChar w:fldCharType="separate"/>
            </w:r>
            <w:r w:rsidR="006440A8">
              <w:rPr>
                <w:noProof/>
                <w:webHidden/>
              </w:rPr>
              <w:t>6</w:t>
            </w:r>
            <w:r w:rsidR="002F641B">
              <w:rPr>
                <w:noProof/>
                <w:webHidden/>
              </w:rPr>
              <w:fldChar w:fldCharType="end"/>
            </w:r>
          </w:hyperlink>
        </w:p>
        <w:p w14:paraId="5F4094D5" w14:textId="77777777" w:rsidR="002F641B" w:rsidRDefault="00E357DD">
          <w:pPr>
            <w:pStyle w:val="TOC3"/>
            <w:tabs>
              <w:tab w:val="left" w:pos="1320"/>
              <w:tab w:val="right" w:leader="dot" w:pos="9017"/>
            </w:tabs>
            <w:rPr>
              <w:rFonts w:asciiTheme="minorHAnsi" w:eastAsiaTheme="minorEastAsia" w:hAnsiTheme="minorHAnsi"/>
              <w:noProof/>
              <w:lang w:eastAsia="en-AU"/>
            </w:rPr>
          </w:pPr>
          <w:hyperlink w:anchor="_Toc411452989" w:history="1">
            <w:r w:rsidR="002F641B" w:rsidRPr="00313DB2">
              <w:rPr>
                <w:rStyle w:val="Hyperlink"/>
                <w:noProof/>
              </w:rPr>
              <w:t>2.2.2</w:t>
            </w:r>
            <w:r w:rsidR="002F641B">
              <w:rPr>
                <w:rFonts w:asciiTheme="minorHAnsi" w:eastAsiaTheme="minorEastAsia" w:hAnsiTheme="minorHAnsi"/>
                <w:noProof/>
                <w:lang w:eastAsia="en-AU"/>
              </w:rPr>
              <w:tab/>
            </w:r>
            <w:r w:rsidR="002F641B" w:rsidRPr="00313DB2">
              <w:rPr>
                <w:rStyle w:val="Hyperlink"/>
                <w:noProof/>
              </w:rPr>
              <w:t>Analysis</w:t>
            </w:r>
            <w:r w:rsidR="002F641B">
              <w:rPr>
                <w:noProof/>
                <w:webHidden/>
              </w:rPr>
              <w:tab/>
            </w:r>
            <w:r w:rsidR="002F641B">
              <w:rPr>
                <w:noProof/>
                <w:webHidden/>
              </w:rPr>
              <w:fldChar w:fldCharType="begin"/>
            </w:r>
            <w:r w:rsidR="002F641B">
              <w:rPr>
                <w:noProof/>
                <w:webHidden/>
              </w:rPr>
              <w:instrText xml:space="preserve"> PAGEREF _Toc411452989 \h </w:instrText>
            </w:r>
            <w:r w:rsidR="002F641B">
              <w:rPr>
                <w:noProof/>
                <w:webHidden/>
              </w:rPr>
            </w:r>
            <w:r w:rsidR="002F641B">
              <w:rPr>
                <w:noProof/>
                <w:webHidden/>
              </w:rPr>
              <w:fldChar w:fldCharType="separate"/>
            </w:r>
            <w:r w:rsidR="006440A8">
              <w:rPr>
                <w:noProof/>
                <w:webHidden/>
              </w:rPr>
              <w:t>9</w:t>
            </w:r>
            <w:r w:rsidR="002F641B">
              <w:rPr>
                <w:noProof/>
                <w:webHidden/>
              </w:rPr>
              <w:fldChar w:fldCharType="end"/>
            </w:r>
          </w:hyperlink>
        </w:p>
        <w:p w14:paraId="4B9A9787" w14:textId="77777777" w:rsidR="002F641B" w:rsidRDefault="00E357DD">
          <w:pPr>
            <w:pStyle w:val="TOC2"/>
            <w:tabs>
              <w:tab w:val="left" w:pos="880"/>
              <w:tab w:val="right" w:leader="dot" w:pos="9017"/>
            </w:tabs>
            <w:rPr>
              <w:rFonts w:asciiTheme="minorHAnsi" w:eastAsiaTheme="minorEastAsia" w:hAnsiTheme="minorHAnsi"/>
              <w:noProof/>
              <w:lang w:eastAsia="en-AU"/>
            </w:rPr>
          </w:pPr>
          <w:hyperlink w:anchor="_Toc411452990" w:history="1">
            <w:r w:rsidR="002F641B" w:rsidRPr="00313DB2">
              <w:rPr>
                <w:rStyle w:val="Hyperlink"/>
                <w:noProof/>
              </w:rPr>
              <w:t>2.3</w:t>
            </w:r>
            <w:r w:rsidR="002F641B">
              <w:rPr>
                <w:rFonts w:asciiTheme="minorHAnsi" w:eastAsiaTheme="minorEastAsia" w:hAnsiTheme="minorHAnsi"/>
                <w:noProof/>
                <w:lang w:eastAsia="en-AU"/>
              </w:rPr>
              <w:tab/>
            </w:r>
            <w:r w:rsidR="002F641B" w:rsidRPr="00313DB2">
              <w:rPr>
                <w:rStyle w:val="Hyperlink"/>
                <w:noProof/>
              </w:rPr>
              <w:t>Phase 2 – online survey</w:t>
            </w:r>
            <w:r w:rsidR="002F641B">
              <w:rPr>
                <w:noProof/>
                <w:webHidden/>
              </w:rPr>
              <w:tab/>
            </w:r>
            <w:r w:rsidR="002F641B">
              <w:rPr>
                <w:noProof/>
                <w:webHidden/>
              </w:rPr>
              <w:fldChar w:fldCharType="begin"/>
            </w:r>
            <w:r w:rsidR="002F641B">
              <w:rPr>
                <w:noProof/>
                <w:webHidden/>
              </w:rPr>
              <w:instrText xml:space="preserve"> PAGEREF _Toc411452990 \h </w:instrText>
            </w:r>
            <w:r w:rsidR="002F641B">
              <w:rPr>
                <w:noProof/>
                <w:webHidden/>
              </w:rPr>
            </w:r>
            <w:r w:rsidR="002F641B">
              <w:rPr>
                <w:noProof/>
                <w:webHidden/>
              </w:rPr>
              <w:fldChar w:fldCharType="separate"/>
            </w:r>
            <w:r w:rsidR="006440A8">
              <w:rPr>
                <w:noProof/>
                <w:webHidden/>
              </w:rPr>
              <w:t>9</w:t>
            </w:r>
            <w:r w:rsidR="002F641B">
              <w:rPr>
                <w:noProof/>
                <w:webHidden/>
              </w:rPr>
              <w:fldChar w:fldCharType="end"/>
            </w:r>
          </w:hyperlink>
        </w:p>
        <w:p w14:paraId="04B40251" w14:textId="77777777" w:rsidR="002F641B" w:rsidRDefault="00E357DD">
          <w:pPr>
            <w:pStyle w:val="TOC3"/>
            <w:tabs>
              <w:tab w:val="left" w:pos="1320"/>
              <w:tab w:val="right" w:leader="dot" w:pos="9017"/>
            </w:tabs>
            <w:rPr>
              <w:rFonts w:asciiTheme="minorHAnsi" w:eastAsiaTheme="minorEastAsia" w:hAnsiTheme="minorHAnsi"/>
              <w:noProof/>
              <w:lang w:eastAsia="en-AU"/>
            </w:rPr>
          </w:pPr>
          <w:hyperlink w:anchor="_Toc411452991" w:history="1">
            <w:r w:rsidR="002F641B" w:rsidRPr="00313DB2">
              <w:rPr>
                <w:rStyle w:val="Hyperlink"/>
                <w:noProof/>
              </w:rPr>
              <w:t>2.3.1</w:t>
            </w:r>
            <w:r w:rsidR="002F641B">
              <w:rPr>
                <w:rFonts w:asciiTheme="minorHAnsi" w:eastAsiaTheme="minorEastAsia" w:hAnsiTheme="minorHAnsi"/>
                <w:noProof/>
                <w:lang w:eastAsia="en-AU"/>
              </w:rPr>
              <w:tab/>
            </w:r>
            <w:r w:rsidR="002F641B" w:rsidRPr="00313DB2">
              <w:rPr>
                <w:rStyle w:val="Hyperlink"/>
                <w:noProof/>
              </w:rPr>
              <w:t>Data collection</w:t>
            </w:r>
            <w:r w:rsidR="002F641B">
              <w:rPr>
                <w:noProof/>
                <w:webHidden/>
              </w:rPr>
              <w:tab/>
            </w:r>
            <w:r w:rsidR="002F641B">
              <w:rPr>
                <w:noProof/>
                <w:webHidden/>
              </w:rPr>
              <w:fldChar w:fldCharType="begin"/>
            </w:r>
            <w:r w:rsidR="002F641B">
              <w:rPr>
                <w:noProof/>
                <w:webHidden/>
              </w:rPr>
              <w:instrText xml:space="preserve"> PAGEREF _Toc411452991 \h </w:instrText>
            </w:r>
            <w:r w:rsidR="002F641B">
              <w:rPr>
                <w:noProof/>
                <w:webHidden/>
              </w:rPr>
            </w:r>
            <w:r w:rsidR="002F641B">
              <w:rPr>
                <w:noProof/>
                <w:webHidden/>
              </w:rPr>
              <w:fldChar w:fldCharType="separate"/>
            </w:r>
            <w:r w:rsidR="006440A8">
              <w:rPr>
                <w:noProof/>
                <w:webHidden/>
              </w:rPr>
              <w:t>9</w:t>
            </w:r>
            <w:r w:rsidR="002F641B">
              <w:rPr>
                <w:noProof/>
                <w:webHidden/>
              </w:rPr>
              <w:fldChar w:fldCharType="end"/>
            </w:r>
          </w:hyperlink>
        </w:p>
        <w:p w14:paraId="08C9A2F7" w14:textId="77777777" w:rsidR="002F641B" w:rsidRDefault="00E357DD">
          <w:pPr>
            <w:pStyle w:val="TOC3"/>
            <w:tabs>
              <w:tab w:val="left" w:pos="1320"/>
              <w:tab w:val="right" w:leader="dot" w:pos="9017"/>
            </w:tabs>
            <w:rPr>
              <w:rFonts w:asciiTheme="minorHAnsi" w:eastAsiaTheme="minorEastAsia" w:hAnsiTheme="minorHAnsi"/>
              <w:noProof/>
              <w:lang w:eastAsia="en-AU"/>
            </w:rPr>
          </w:pPr>
          <w:hyperlink w:anchor="_Toc411452992" w:history="1">
            <w:r w:rsidR="002F641B" w:rsidRPr="00313DB2">
              <w:rPr>
                <w:rStyle w:val="Hyperlink"/>
                <w:noProof/>
              </w:rPr>
              <w:t>2.3.2</w:t>
            </w:r>
            <w:r w:rsidR="002F641B">
              <w:rPr>
                <w:rFonts w:asciiTheme="minorHAnsi" w:eastAsiaTheme="minorEastAsia" w:hAnsiTheme="minorHAnsi"/>
                <w:noProof/>
                <w:lang w:eastAsia="en-AU"/>
              </w:rPr>
              <w:tab/>
            </w:r>
            <w:r w:rsidR="002F641B" w:rsidRPr="00313DB2">
              <w:rPr>
                <w:rStyle w:val="Hyperlink"/>
                <w:noProof/>
              </w:rPr>
              <w:t>Analysis</w:t>
            </w:r>
            <w:r w:rsidR="002F641B">
              <w:rPr>
                <w:noProof/>
                <w:webHidden/>
              </w:rPr>
              <w:tab/>
            </w:r>
            <w:r w:rsidR="002F641B">
              <w:rPr>
                <w:noProof/>
                <w:webHidden/>
              </w:rPr>
              <w:fldChar w:fldCharType="begin"/>
            </w:r>
            <w:r w:rsidR="002F641B">
              <w:rPr>
                <w:noProof/>
                <w:webHidden/>
              </w:rPr>
              <w:instrText xml:space="preserve"> PAGEREF _Toc411452992 \h </w:instrText>
            </w:r>
            <w:r w:rsidR="002F641B">
              <w:rPr>
                <w:noProof/>
                <w:webHidden/>
              </w:rPr>
            </w:r>
            <w:r w:rsidR="002F641B">
              <w:rPr>
                <w:noProof/>
                <w:webHidden/>
              </w:rPr>
              <w:fldChar w:fldCharType="separate"/>
            </w:r>
            <w:r w:rsidR="006440A8">
              <w:rPr>
                <w:noProof/>
                <w:webHidden/>
              </w:rPr>
              <w:t>9</w:t>
            </w:r>
            <w:r w:rsidR="002F641B">
              <w:rPr>
                <w:noProof/>
                <w:webHidden/>
              </w:rPr>
              <w:fldChar w:fldCharType="end"/>
            </w:r>
          </w:hyperlink>
        </w:p>
        <w:p w14:paraId="3A7D806C" w14:textId="77777777" w:rsidR="002F641B" w:rsidRDefault="00E357DD">
          <w:pPr>
            <w:pStyle w:val="TOC1"/>
            <w:tabs>
              <w:tab w:val="left" w:pos="440"/>
              <w:tab w:val="right" w:leader="dot" w:pos="9017"/>
            </w:tabs>
            <w:rPr>
              <w:rFonts w:asciiTheme="minorHAnsi" w:eastAsiaTheme="minorEastAsia" w:hAnsiTheme="minorHAnsi"/>
              <w:noProof/>
              <w:lang w:eastAsia="en-AU"/>
            </w:rPr>
          </w:pPr>
          <w:hyperlink w:anchor="_Toc411452993" w:history="1">
            <w:r w:rsidR="002F641B" w:rsidRPr="00313DB2">
              <w:rPr>
                <w:rStyle w:val="Hyperlink"/>
                <w:noProof/>
              </w:rPr>
              <w:t>3</w:t>
            </w:r>
            <w:r w:rsidR="002F641B">
              <w:rPr>
                <w:rFonts w:asciiTheme="minorHAnsi" w:eastAsiaTheme="minorEastAsia" w:hAnsiTheme="minorHAnsi"/>
                <w:noProof/>
                <w:lang w:eastAsia="en-AU"/>
              </w:rPr>
              <w:tab/>
            </w:r>
            <w:r w:rsidR="002F641B" w:rsidRPr="00313DB2">
              <w:rPr>
                <w:rStyle w:val="Hyperlink"/>
                <w:noProof/>
              </w:rPr>
              <w:t>Findings</w:t>
            </w:r>
            <w:r w:rsidR="002F641B">
              <w:rPr>
                <w:noProof/>
                <w:webHidden/>
              </w:rPr>
              <w:tab/>
            </w:r>
            <w:r w:rsidR="002F641B">
              <w:rPr>
                <w:noProof/>
                <w:webHidden/>
              </w:rPr>
              <w:fldChar w:fldCharType="begin"/>
            </w:r>
            <w:r w:rsidR="002F641B">
              <w:rPr>
                <w:noProof/>
                <w:webHidden/>
              </w:rPr>
              <w:instrText xml:space="preserve"> PAGEREF _Toc411452993 \h </w:instrText>
            </w:r>
            <w:r w:rsidR="002F641B">
              <w:rPr>
                <w:noProof/>
                <w:webHidden/>
              </w:rPr>
            </w:r>
            <w:r w:rsidR="002F641B">
              <w:rPr>
                <w:noProof/>
                <w:webHidden/>
              </w:rPr>
              <w:fldChar w:fldCharType="separate"/>
            </w:r>
            <w:r w:rsidR="006440A8">
              <w:rPr>
                <w:noProof/>
                <w:webHidden/>
              </w:rPr>
              <w:t>10</w:t>
            </w:r>
            <w:r w:rsidR="002F641B">
              <w:rPr>
                <w:noProof/>
                <w:webHidden/>
              </w:rPr>
              <w:fldChar w:fldCharType="end"/>
            </w:r>
          </w:hyperlink>
        </w:p>
        <w:p w14:paraId="7BB48CE4" w14:textId="77777777" w:rsidR="002F641B" w:rsidRDefault="00E357DD">
          <w:pPr>
            <w:pStyle w:val="TOC2"/>
            <w:tabs>
              <w:tab w:val="left" w:pos="880"/>
              <w:tab w:val="right" w:leader="dot" w:pos="9017"/>
            </w:tabs>
            <w:rPr>
              <w:rFonts w:asciiTheme="minorHAnsi" w:eastAsiaTheme="minorEastAsia" w:hAnsiTheme="minorHAnsi"/>
              <w:noProof/>
              <w:lang w:eastAsia="en-AU"/>
            </w:rPr>
          </w:pPr>
          <w:hyperlink w:anchor="_Toc411452994" w:history="1">
            <w:r w:rsidR="002F641B" w:rsidRPr="00313DB2">
              <w:rPr>
                <w:rStyle w:val="Hyperlink"/>
                <w:noProof/>
              </w:rPr>
              <w:t>3.1</w:t>
            </w:r>
            <w:r w:rsidR="002F641B">
              <w:rPr>
                <w:rFonts w:asciiTheme="minorHAnsi" w:eastAsiaTheme="minorEastAsia" w:hAnsiTheme="minorHAnsi"/>
                <w:noProof/>
                <w:lang w:eastAsia="en-AU"/>
              </w:rPr>
              <w:tab/>
            </w:r>
            <w:r w:rsidR="002F641B" w:rsidRPr="00313DB2">
              <w:rPr>
                <w:rStyle w:val="Hyperlink"/>
                <w:noProof/>
              </w:rPr>
              <w:t>Importance of biosecurity</w:t>
            </w:r>
            <w:r w:rsidR="002F641B">
              <w:rPr>
                <w:noProof/>
                <w:webHidden/>
              </w:rPr>
              <w:tab/>
            </w:r>
            <w:r w:rsidR="002F641B">
              <w:rPr>
                <w:noProof/>
                <w:webHidden/>
              </w:rPr>
              <w:fldChar w:fldCharType="begin"/>
            </w:r>
            <w:r w:rsidR="002F641B">
              <w:rPr>
                <w:noProof/>
                <w:webHidden/>
              </w:rPr>
              <w:instrText xml:space="preserve"> PAGEREF _Toc411452994 \h </w:instrText>
            </w:r>
            <w:r w:rsidR="002F641B">
              <w:rPr>
                <w:noProof/>
                <w:webHidden/>
              </w:rPr>
            </w:r>
            <w:r w:rsidR="002F641B">
              <w:rPr>
                <w:noProof/>
                <w:webHidden/>
              </w:rPr>
              <w:fldChar w:fldCharType="separate"/>
            </w:r>
            <w:r w:rsidR="006440A8">
              <w:rPr>
                <w:noProof/>
                <w:webHidden/>
              </w:rPr>
              <w:t>10</w:t>
            </w:r>
            <w:r w:rsidR="002F641B">
              <w:rPr>
                <w:noProof/>
                <w:webHidden/>
              </w:rPr>
              <w:fldChar w:fldCharType="end"/>
            </w:r>
          </w:hyperlink>
        </w:p>
        <w:p w14:paraId="588E08FA" w14:textId="77777777" w:rsidR="002F641B" w:rsidRDefault="00E357DD">
          <w:pPr>
            <w:pStyle w:val="TOC2"/>
            <w:tabs>
              <w:tab w:val="left" w:pos="880"/>
              <w:tab w:val="right" w:leader="dot" w:pos="9017"/>
            </w:tabs>
            <w:rPr>
              <w:rFonts w:asciiTheme="minorHAnsi" w:eastAsiaTheme="minorEastAsia" w:hAnsiTheme="minorHAnsi"/>
              <w:noProof/>
              <w:lang w:eastAsia="en-AU"/>
            </w:rPr>
          </w:pPr>
          <w:hyperlink w:anchor="_Toc411452995" w:history="1">
            <w:r w:rsidR="002F641B" w:rsidRPr="00313DB2">
              <w:rPr>
                <w:rStyle w:val="Hyperlink"/>
                <w:noProof/>
              </w:rPr>
              <w:t>3.2</w:t>
            </w:r>
            <w:r w:rsidR="002F641B">
              <w:rPr>
                <w:rFonts w:asciiTheme="minorHAnsi" w:eastAsiaTheme="minorEastAsia" w:hAnsiTheme="minorHAnsi"/>
                <w:noProof/>
                <w:lang w:eastAsia="en-AU"/>
              </w:rPr>
              <w:tab/>
            </w:r>
            <w:r w:rsidR="002F641B" w:rsidRPr="00313DB2">
              <w:rPr>
                <w:rStyle w:val="Hyperlink"/>
                <w:noProof/>
              </w:rPr>
              <w:t>Biosecurity – a shared responsibility</w:t>
            </w:r>
            <w:r w:rsidR="002F641B">
              <w:rPr>
                <w:noProof/>
                <w:webHidden/>
              </w:rPr>
              <w:tab/>
            </w:r>
            <w:r w:rsidR="002F641B">
              <w:rPr>
                <w:noProof/>
                <w:webHidden/>
              </w:rPr>
              <w:fldChar w:fldCharType="begin"/>
            </w:r>
            <w:r w:rsidR="002F641B">
              <w:rPr>
                <w:noProof/>
                <w:webHidden/>
              </w:rPr>
              <w:instrText xml:space="preserve"> PAGEREF _Toc411452995 \h </w:instrText>
            </w:r>
            <w:r w:rsidR="002F641B">
              <w:rPr>
                <w:noProof/>
                <w:webHidden/>
              </w:rPr>
            </w:r>
            <w:r w:rsidR="002F641B">
              <w:rPr>
                <w:noProof/>
                <w:webHidden/>
              </w:rPr>
              <w:fldChar w:fldCharType="separate"/>
            </w:r>
            <w:r w:rsidR="006440A8">
              <w:rPr>
                <w:noProof/>
                <w:webHidden/>
              </w:rPr>
              <w:t>12</w:t>
            </w:r>
            <w:r w:rsidR="002F641B">
              <w:rPr>
                <w:noProof/>
                <w:webHidden/>
              </w:rPr>
              <w:fldChar w:fldCharType="end"/>
            </w:r>
          </w:hyperlink>
        </w:p>
        <w:p w14:paraId="5BFB4C4A" w14:textId="77777777" w:rsidR="002F641B" w:rsidRDefault="00E357DD">
          <w:pPr>
            <w:pStyle w:val="TOC2"/>
            <w:tabs>
              <w:tab w:val="left" w:pos="880"/>
              <w:tab w:val="right" w:leader="dot" w:pos="9017"/>
            </w:tabs>
            <w:rPr>
              <w:rFonts w:asciiTheme="minorHAnsi" w:eastAsiaTheme="minorEastAsia" w:hAnsiTheme="minorHAnsi"/>
              <w:noProof/>
              <w:lang w:eastAsia="en-AU"/>
            </w:rPr>
          </w:pPr>
          <w:hyperlink w:anchor="_Toc411452996" w:history="1">
            <w:r w:rsidR="002F641B" w:rsidRPr="00313DB2">
              <w:rPr>
                <w:rStyle w:val="Hyperlink"/>
                <w:noProof/>
              </w:rPr>
              <w:t>3.3</w:t>
            </w:r>
            <w:r w:rsidR="002F641B">
              <w:rPr>
                <w:rFonts w:asciiTheme="minorHAnsi" w:eastAsiaTheme="minorEastAsia" w:hAnsiTheme="minorHAnsi"/>
                <w:noProof/>
                <w:lang w:eastAsia="en-AU"/>
              </w:rPr>
              <w:tab/>
            </w:r>
            <w:r w:rsidR="002F641B" w:rsidRPr="00313DB2">
              <w:rPr>
                <w:rStyle w:val="Hyperlink"/>
                <w:noProof/>
              </w:rPr>
              <w:t>Investment in biosecurity</w:t>
            </w:r>
            <w:r w:rsidR="002F641B">
              <w:rPr>
                <w:noProof/>
                <w:webHidden/>
              </w:rPr>
              <w:tab/>
            </w:r>
            <w:r w:rsidR="002F641B">
              <w:rPr>
                <w:noProof/>
                <w:webHidden/>
              </w:rPr>
              <w:fldChar w:fldCharType="begin"/>
            </w:r>
            <w:r w:rsidR="002F641B">
              <w:rPr>
                <w:noProof/>
                <w:webHidden/>
              </w:rPr>
              <w:instrText xml:space="preserve"> PAGEREF _Toc411452996 \h </w:instrText>
            </w:r>
            <w:r w:rsidR="002F641B">
              <w:rPr>
                <w:noProof/>
                <w:webHidden/>
              </w:rPr>
            </w:r>
            <w:r w:rsidR="002F641B">
              <w:rPr>
                <w:noProof/>
                <w:webHidden/>
              </w:rPr>
              <w:fldChar w:fldCharType="separate"/>
            </w:r>
            <w:r w:rsidR="006440A8">
              <w:rPr>
                <w:noProof/>
                <w:webHidden/>
              </w:rPr>
              <w:t>15</w:t>
            </w:r>
            <w:r w:rsidR="002F641B">
              <w:rPr>
                <w:noProof/>
                <w:webHidden/>
              </w:rPr>
              <w:fldChar w:fldCharType="end"/>
            </w:r>
          </w:hyperlink>
        </w:p>
        <w:p w14:paraId="52AA9B2F" w14:textId="77777777" w:rsidR="002F641B" w:rsidRDefault="00E357DD">
          <w:pPr>
            <w:pStyle w:val="TOC2"/>
            <w:tabs>
              <w:tab w:val="left" w:pos="880"/>
              <w:tab w:val="right" w:leader="dot" w:pos="9017"/>
            </w:tabs>
            <w:rPr>
              <w:rFonts w:asciiTheme="minorHAnsi" w:eastAsiaTheme="minorEastAsia" w:hAnsiTheme="minorHAnsi"/>
              <w:noProof/>
              <w:lang w:eastAsia="en-AU"/>
            </w:rPr>
          </w:pPr>
          <w:hyperlink w:anchor="_Toc411452997" w:history="1">
            <w:r w:rsidR="002F641B" w:rsidRPr="00313DB2">
              <w:rPr>
                <w:rStyle w:val="Hyperlink"/>
                <w:noProof/>
              </w:rPr>
              <w:t>3.4</w:t>
            </w:r>
            <w:r w:rsidR="002F641B">
              <w:rPr>
                <w:rFonts w:asciiTheme="minorHAnsi" w:eastAsiaTheme="minorEastAsia" w:hAnsiTheme="minorHAnsi"/>
                <w:noProof/>
                <w:lang w:eastAsia="en-AU"/>
              </w:rPr>
              <w:tab/>
            </w:r>
            <w:r w:rsidR="002F641B" w:rsidRPr="00313DB2">
              <w:rPr>
                <w:rStyle w:val="Hyperlink"/>
                <w:noProof/>
              </w:rPr>
              <w:t>Collaboration, cooperation and communication</w:t>
            </w:r>
            <w:r w:rsidR="002F641B">
              <w:rPr>
                <w:noProof/>
                <w:webHidden/>
              </w:rPr>
              <w:tab/>
            </w:r>
            <w:r w:rsidR="002F641B">
              <w:rPr>
                <w:noProof/>
                <w:webHidden/>
              </w:rPr>
              <w:fldChar w:fldCharType="begin"/>
            </w:r>
            <w:r w:rsidR="002F641B">
              <w:rPr>
                <w:noProof/>
                <w:webHidden/>
              </w:rPr>
              <w:instrText xml:space="preserve"> PAGEREF _Toc411452997 \h </w:instrText>
            </w:r>
            <w:r w:rsidR="002F641B">
              <w:rPr>
                <w:noProof/>
                <w:webHidden/>
              </w:rPr>
            </w:r>
            <w:r w:rsidR="002F641B">
              <w:rPr>
                <w:noProof/>
                <w:webHidden/>
              </w:rPr>
              <w:fldChar w:fldCharType="separate"/>
            </w:r>
            <w:r w:rsidR="006440A8">
              <w:rPr>
                <w:noProof/>
                <w:webHidden/>
              </w:rPr>
              <w:t>16</w:t>
            </w:r>
            <w:r w:rsidR="002F641B">
              <w:rPr>
                <w:noProof/>
                <w:webHidden/>
              </w:rPr>
              <w:fldChar w:fldCharType="end"/>
            </w:r>
          </w:hyperlink>
        </w:p>
        <w:p w14:paraId="76102DEA" w14:textId="77777777" w:rsidR="002F641B" w:rsidRDefault="00E357DD">
          <w:pPr>
            <w:pStyle w:val="TOC2"/>
            <w:tabs>
              <w:tab w:val="left" w:pos="880"/>
              <w:tab w:val="right" w:leader="dot" w:pos="9017"/>
            </w:tabs>
            <w:rPr>
              <w:rFonts w:asciiTheme="minorHAnsi" w:eastAsiaTheme="minorEastAsia" w:hAnsiTheme="minorHAnsi"/>
              <w:noProof/>
              <w:lang w:eastAsia="en-AU"/>
            </w:rPr>
          </w:pPr>
          <w:hyperlink w:anchor="_Toc411452998" w:history="1">
            <w:r w:rsidR="002F641B" w:rsidRPr="00313DB2">
              <w:rPr>
                <w:rStyle w:val="Hyperlink"/>
                <w:noProof/>
              </w:rPr>
              <w:t>3.5</w:t>
            </w:r>
            <w:r w:rsidR="002F641B">
              <w:rPr>
                <w:rFonts w:asciiTheme="minorHAnsi" w:eastAsiaTheme="minorEastAsia" w:hAnsiTheme="minorHAnsi"/>
                <w:noProof/>
                <w:lang w:eastAsia="en-AU"/>
              </w:rPr>
              <w:tab/>
            </w:r>
            <w:r w:rsidR="002F641B" w:rsidRPr="00313DB2">
              <w:rPr>
                <w:rStyle w:val="Hyperlink"/>
                <w:noProof/>
              </w:rPr>
              <w:t>Engagement, education and awareness</w:t>
            </w:r>
            <w:r w:rsidR="002F641B">
              <w:rPr>
                <w:noProof/>
                <w:webHidden/>
              </w:rPr>
              <w:tab/>
            </w:r>
            <w:r w:rsidR="002F641B">
              <w:rPr>
                <w:noProof/>
                <w:webHidden/>
              </w:rPr>
              <w:fldChar w:fldCharType="begin"/>
            </w:r>
            <w:r w:rsidR="002F641B">
              <w:rPr>
                <w:noProof/>
                <w:webHidden/>
              </w:rPr>
              <w:instrText xml:space="preserve"> PAGEREF _Toc411452998 \h </w:instrText>
            </w:r>
            <w:r w:rsidR="002F641B">
              <w:rPr>
                <w:noProof/>
                <w:webHidden/>
              </w:rPr>
            </w:r>
            <w:r w:rsidR="002F641B">
              <w:rPr>
                <w:noProof/>
                <w:webHidden/>
              </w:rPr>
              <w:fldChar w:fldCharType="separate"/>
            </w:r>
            <w:r w:rsidR="006440A8">
              <w:rPr>
                <w:noProof/>
                <w:webHidden/>
              </w:rPr>
              <w:t>17</w:t>
            </w:r>
            <w:r w:rsidR="002F641B">
              <w:rPr>
                <w:noProof/>
                <w:webHidden/>
              </w:rPr>
              <w:fldChar w:fldCharType="end"/>
            </w:r>
          </w:hyperlink>
        </w:p>
        <w:p w14:paraId="65BE7406" w14:textId="77777777" w:rsidR="002F641B" w:rsidRDefault="00E357DD">
          <w:pPr>
            <w:pStyle w:val="TOC2"/>
            <w:tabs>
              <w:tab w:val="left" w:pos="880"/>
              <w:tab w:val="right" w:leader="dot" w:pos="9017"/>
            </w:tabs>
            <w:rPr>
              <w:rFonts w:asciiTheme="minorHAnsi" w:eastAsiaTheme="minorEastAsia" w:hAnsiTheme="minorHAnsi"/>
              <w:noProof/>
              <w:lang w:eastAsia="en-AU"/>
            </w:rPr>
          </w:pPr>
          <w:hyperlink w:anchor="_Toc411452999" w:history="1">
            <w:r w:rsidR="002F641B" w:rsidRPr="00313DB2">
              <w:rPr>
                <w:rStyle w:val="Hyperlink"/>
                <w:noProof/>
              </w:rPr>
              <w:t>3.6</w:t>
            </w:r>
            <w:r w:rsidR="002F641B">
              <w:rPr>
                <w:rFonts w:asciiTheme="minorHAnsi" w:eastAsiaTheme="minorEastAsia" w:hAnsiTheme="minorHAnsi"/>
                <w:noProof/>
                <w:lang w:eastAsia="en-AU"/>
              </w:rPr>
              <w:tab/>
            </w:r>
            <w:r w:rsidR="002F641B" w:rsidRPr="00313DB2">
              <w:rPr>
                <w:rStyle w:val="Hyperlink"/>
                <w:noProof/>
              </w:rPr>
              <w:t>Prioritising and justifying</w:t>
            </w:r>
            <w:r w:rsidR="002F641B">
              <w:rPr>
                <w:noProof/>
                <w:webHidden/>
              </w:rPr>
              <w:tab/>
            </w:r>
            <w:r w:rsidR="002F641B">
              <w:rPr>
                <w:noProof/>
                <w:webHidden/>
              </w:rPr>
              <w:fldChar w:fldCharType="begin"/>
            </w:r>
            <w:r w:rsidR="002F641B">
              <w:rPr>
                <w:noProof/>
                <w:webHidden/>
              </w:rPr>
              <w:instrText xml:space="preserve"> PAGEREF _Toc411452999 \h </w:instrText>
            </w:r>
            <w:r w:rsidR="002F641B">
              <w:rPr>
                <w:noProof/>
                <w:webHidden/>
              </w:rPr>
            </w:r>
            <w:r w:rsidR="002F641B">
              <w:rPr>
                <w:noProof/>
                <w:webHidden/>
              </w:rPr>
              <w:fldChar w:fldCharType="separate"/>
            </w:r>
            <w:r w:rsidR="006440A8">
              <w:rPr>
                <w:noProof/>
                <w:webHidden/>
              </w:rPr>
              <w:t>18</w:t>
            </w:r>
            <w:r w:rsidR="002F641B">
              <w:rPr>
                <w:noProof/>
                <w:webHidden/>
              </w:rPr>
              <w:fldChar w:fldCharType="end"/>
            </w:r>
          </w:hyperlink>
        </w:p>
        <w:p w14:paraId="5675FA7F" w14:textId="77777777" w:rsidR="002F641B" w:rsidRDefault="00E357DD">
          <w:pPr>
            <w:pStyle w:val="TOC2"/>
            <w:tabs>
              <w:tab w:val="left" w:pos="880"/>
              <w:tab w:val="right" w:leader="dot" w:pos="9017"/>
            </w:tabs>
            <w:rPr>
              <w:rFonts w:asciiTheme="minorHAnsi" w:eastAsiaTheme="minorEastAsia" w:hAnsiTheme="minorHAnsi"/>
              <w:noProof/>
              <w:lang w:eastAsia="en-AU"/>
            </w:rPr>
          </w:pPr>
          <w:hyperlink w:anchor="_Toc411453000" w:history="1">
            <w:r w:rsidR="002F641B" w:rsidRPr="00313DB2">
              <w:rPr>
                <w:rStyle w:val="Hyperlink"/>
                <w:noProof/>
              </w:rPr>
              <w:t>3.7</w:t>
            </w:r>
            <w:r w:rsidR="002F641B">
              <w:rPr>
                <w:rFonts w:asciiTheme="minorHAnsi" w:eastAsiaTheme="minorEastAsia" w:hAnsiTheme="minorHAnsi"/>
                <w:noProof/>
                <w:lang w:eastAsia="en-AU"/>
              </w:rPr>
              <w:tab/>
            </w:r>
            <w:r w:rsidR="002F641B" w:rsidRPr="00313DB2">
              <w:rPr>
                <w:rStyle w:val="Hyperlink"/>
                <w:noProof/>
              </w:rPr>
              <w:t>Rules and regulations</w:t>
            </w:r>
            <w:r w:rsidR="002F641B">
              <w:rPr>
                <w:noProof/>
                <w:webHidden/>
              </w:rPr>
              <w:tab/>
            </w:r>
            <w:r w:rsidR="002F641B">
              <w:rPr>
                <w:noProof/>
                <w:webHidden/>
              </w:rPr>
              <w:fldChar w:fldCharType="begin"/>
            </w:r>
            <w:r w:rsidR="002F641B">
              <w:rPr>
                <w:noProof/>
                <w:webHidden/>
              </w:rPr>
              <w:instrText xml:space="preserve"> PAGEREF _Toc411453000 \h </w:instrText>
            </w:r>
            <w:r w:rsidR="002F641B">
              <w:rPr>
                <w:noProof/>
                <w:webHidden/>
              </w:rPr>
            </w:r>
            <w:r w:rsidR="002F641B">
              <w:rPr>
                <w:noProof/>
                <w:webHidden/>
              </w:rPr>
              <w:fldChar w:fldCharType="separate"/>
            </w:r>
            <w:r w:rsidR="006440A8">
              <w:rPr>
                <w:noProof/>
                <w:webHidden/>
              </w:rPr>
              <w:t>19</w:t>
            </w:r>
            <w:r w:rsidR="002F641B">
              <w:rPr>
                <w:noProof/>
                <w:webHidden/>
              </w:rPr>
              <w:fldChar w:fldCharType="end"/>
            </w:r>
          </w:hyperlink>
        </w:p>
        <w:p w14:paraId="0717BEB2" w14:textId="77777777" w:rsidR="002F641B" w:rsidRDefault="00E357DD">
          <w:pPr>
            <w:pStyle w:val="TOC2"/>
            <w:tabs>
              <w:tab w:val="left" w:pos="880"/>
              <w:tab w:val="right" w:leader="dot" w:pos="9017"/>
            </w:tabs>
            <w:rPr>
              <w:rFonts w:asciiTheme="minorHAnsi" w:eastAsiaTheme="minorEastAsia" w:hAnsiTheme="minorHAnsi"/>
              <w:noProof/>
              <w:lang w:eastAsia="en-AU"/>
            </w:rPr>
          </w:pPr>
          <w:hyperlink w:anchor="_Toc411453001" w:history="1">
            <w:r w:rsidR="002F641B" w:rsidRPr="00313DB2">
              <w:rPr>
                <w:rStyle w:val="Hyperlink"/>
                <w:noProof/>
              </w:rPr>
              <w:t>3.8</w:t>
            </w:r>
            <w:r w:rsidR="002F641B">
              <w:rPr>
                <w:rFonts w:asciiTheme="minorHAnsi" w:eastAsiaTheme="minorEastAsia" w:hAnsiTheme="minorHAnsi"/>
                <w:noProof/>
                <w:lang w:eastAsia="en-AU"/>
              </w:rPr>
              <w:tab/>
            </w:r>
            <w:r w:rsidR="002F641B" w:rsidRPr="00313DB2">
              <w:rPr>
                <w:rStyle w:val="Hyperlink"/>
                <w:noProof/>
              </w:rPr>
              <w:t>Preparedness</w:t>
            </w:r>
            <w:r w:rsidR="002F641B">
              <w:rPr>
                <w:noProof/>
                <w:webHidden/>
              </w:rPr>
              <w:tab/>
            </w:r>
            <w:r w:rsidR="002F641B">
              <w:rPr>
                <w:noProof/>
                <w:webHidden/>
              </w:rPr>
              <w:fldChar w:fldCharType="begin"/>
            </w:r>
            <w:r w:rsidR="002F641B">
              <w:rPr>
                <w:noProof/>
                <w:webHidden/>
              </w:rPr>
              <w:instrText xml:space="preserve"> PAGEREF _Toc411453001 \h </w:instrText>
            </w:r>
            <w:r w:rsidR="002F641B">
              <w:rPr>
                <w:noProof/>
                <w:webHidden/>
              </w:rPr>
            </w:r>
            <w:r w:rsidR="002F641B">
              <w:rPr>
                <w:noProof/>
                <w:webHidden/>
              </w:rPr>
              <w:fldChar w:fldCharType="separate"/>
            </w:r>
            <w:r w:rsidR="006440A8">
              <w:rPr>
                <w:noProof/>
                <w:webHidden/>
              </w:rPr>
              <w:t>20</w:t>
            </w:r>
            <w:r w:rsidR="002F641B">
              <w:rPr>
                <w:noProof/>
                <w:webHidden/>
              </w:rPr>
              <w:fldChar w:fldCharType="end"/>
            </w:r>
          </w:hyperlink>
        </w:p>
        <w:p w14:paraId="34FB5D00" w14:textId="77777777" w:rsidR="002F641B" w:rsidRDefault="00E357DD">
          <w:pPr>
            <w:pStyle w:val="TOC2"/>
            <w:tabs>
              <w:tab w:val="left" w:pos="880"/>
              <w:tab w:val="right" w:leader="dot" w:pos="9017"/>
            </w:tabs>
            <w:rPr>
              <w:rFonts w:asciiTheme="minorHAnsi" w:eastAsiaTheme="minorEastAsia" w:hAnsiTheme="minorHAnsi"/>
              <w:noProof/>
              <w:lang w:eastAsia="en-AU"/>
            </w:rPr>
          </w:pPr>
          <w:hyperlink w:anchor="_Toc411453002" w:history="1">
            <w:r w:rsidR="002F641B" w:rsidRPr="00313DB2">
              <w:rPr>
                <w:rStyle w:val="Hyperlink"/>
                <w:noProof/>
              </w:rPr>
              <w:t>3.9</w:t>
            </w:r>
            <w:r w:rsidR="002F641B">
              <w:rPr>
                <w:rFonts w:asciiTheme="minorHAnsi" w:eastAsiaTheme="minorEastAsia" w:hAnsiTheme="minorHAnsi"/>
                <w:noProof/>
                <w:lang w:eastAsia="en-AU"/>
              </w:rPr>
              <w:tab/>
            </w:r>
            <w:r w:rsidR="002F641B" w:rsidRPr="00313DB2">
              <w:rPr>
                <w:rStyle w:val="Hyperlink"/>
                <w:noProof/>
              </w:rPr>
              <w:t>Research, innovation and continuous improvement</w:t>
            </w:r>
            <w:r w:rsidR="002F641B">
              <w:rPr>
                <w:noProof/>
                <w:webHidden/>
              </w:rPr>
              <w:tab/>
            </w:r>
            <w:r w:rsidR="002F641B">
              <w:rPr>
                <w:noProof/>
                <w:webHidden/>
              </w:rPr>
              <w:fldChar w:fldCharType="begin"/>
            </w:r>
            <w:r w:rsidR="002F641B">
              <w:rPr>
                <w:noProof/>
                <w:webHidden/>
              </w:rPr>
              <w:instrText xml:space="preserve"> PAGEREF _Toc411453002 \h </w:instrText>
            </w:r>
            <w:r w:rsidR="002F641B">
              <w:rPr>
                <w:noProof/>
                <w:webHidden/>
              </w:rPr>
            </w:r>
            <w:r w:rsidR="002F641B">
              <w:rPr>
                <w:noProof/>
                <w:webHidden/>
              </w:rPr>
              <w:fldChar w:fldCharType="separate"/>
            </w:r>
            <w:r w:rsidR="006440A8">
              <w:rPr>
                <w:noProof/>
                <w:webHidden/>
              </w:rPr>
              <w:t>20</w:t>
            </w:r>
            <w:r w:rsidR="002F641B">
              <w:rPr>
                <w:noProof/>
                <w:webHidden/>
              </w:rPr>
              <w:fldChar w:fldCharType="end"/>
            </w:r>
          </w:hyperlink>
        </w:p>
        <w:p w14:paraId="2A2B9488" w14:textId="77777777" w:rsidR="002F641B" w:rsidRDefault="00E357DD">
          <w:pPr>
            <w:pStyle w:val="TOC2"/>
            <w:tabs>
              <w:tab w:val="left" w:pos="880"/>
              <w:tab w:val="right" w:leader="dot" w:pos="9017"/>
            </w:tabs>
            <w:rPr>
              <w:rFonts w:asciiTheme="minorHAnsi" w:eastAsiaTheme="minorEastAsia" w:hAnsiTheme="minorHAnsi"/>
              <w:noProof/>
              <w:lang w:eastAsia="en-AU"/>
            </w:rPr>
          </w:pPr>
          <w:hyperlink w:anchor="_Toc411453003" w:history="1">
            <w:r w:rsidR="002F641B" w:rsidRPr="00313DB2">
              <w:rPr>
                <w:rStyle w:val="Hyperlink"/>
                <w:noProof/>
              </w:rPr>
              <w:t>3.10</w:t>
            </w:r>
            <w:r w:rsidR="002F641B">
              <w:rPr>
                <w:rFonts w:asciiTheme="minorHAnsi" w:eastAsiaTheme="minorEastAsia" w:hAnsiTheme="minorHAnsi"/>
                <w:noProof/>
                <w:lang w:eastAsia="en-AU"/>
              </w:rPr>
              <w:tab/>
            </w:r>
            <w:r w:rsidR="002F641B" w:rsidRPr="00313DB2">
              <w:rPr>
                <w:rStyle w:val="Hyperlink"/>
                <w:noProof/>
              </w:rPr>
              <w:t>Industry, government and community needs</w:t>
            </w:r>
            <w:r w:rsidR="002F641B">
              <w:rPr>
                <w:noProof/>
                <w:webHidden/>
              </w:rPr>
              <w:tab/>
            </w:r>
            <w:r w:rsidR="002F641B">
              <w:rPr>
                <w:noProof/>
                <w:webHidden/>
              </w:rPr>
              <w:fldChar w:fldCharType="begin"/>
            </w:r>
            <w:r w:rsidR="002F641B">
              <w:rPr>
                <w:noProof/>
                <w:webHidden/>
              </w:rPr>
              <w:instrText xml:space="preserve"> PAGEREF _Toc411453003 \h </w:instrText>
            </w:r>
            <w:r w:rsidR="002F641B">
              <w:rPr>
                <w:noProof/>
                <w:webHidden/>
              </w:rPr>
            </w:r>
            <w:r w:rsidR="002F641B">
              <w:rPr>
                <w:noProof/>
                <w:webHidden/>
              </w:rPr>
              <w:fldChar w:fldCharType="separate"/>
            </w:r>
            <w:r w:rsidR="006440A8">
              <w:rPr>
                <w:noProof/>
                <w:webHidden/>
              </w:rPr>
              <w:t>20</w:t>
            </w:r>
            <w:r w:rsidR="002F641B">
              <w:rPr>
                <w:noProof/>
                <w:webHidden/>
              </w:rPr>
              <w:fldChar w:fldCharType="end"/>
            </w:r>
          </w:hyperlink>
        </w:p>
        <w:p w14:paraId="64EDDC7A" w14:textId="77777777" w:rsidR="002F641B" w:rsidRDefault="00E357DD">
          <w:pPr>
            <w:pStyle w:val="TOC1"/>
            <w:tabs>
              <w:tab w:val="left" w:pos="440"/>
              <w:tab w:val="right" w:leader="dot" w:pos="9017"/>
            </w:tabs>
            <w:rPr>
              <w:rFonts w:asciiTheme="minorHAnsi" w:eastAsiaTheme="minorEastAsia" w:hAnsiTheme="minorHAnsi"/>
              <w:noProof/>
              <w:lang w:eastAsia="en-AU"/>
            </w:rPr>
          </w:pPr>
          <w:hyperlink w:anchor="_Toc411453004" w:history="1">
            <w:r w:rsidR="002F641B" w:rsidRPr="00313DB2">
              <w:rPr>
                <w:rStyle w:val="Hyperlink"/>
                <w:noProof/>
              </w:rPr>
              <w:t>4</w:t>
            </w:r>
            <w:r w:rsidR="002F641B">
              <w:rPr>
                <w:rFonts w:asciiTheme="minorHAnsi" w:eastAsiaTheme="minorEastAsia" w:hAnsiTheme="minorHAnsi"/>
                <w:noProof/>
                <w:lang w:eastAsia="en-AU"/>
              </w:rPr>
              <w:tab/>
            </w:r>
            <w:r w:rsidR="002F641B" w:rsidRPr="00313DB2">
              <w:rPr>
                <w:rStyle w:val="Hyperlink"/>
                <w:noProof/>
              </w:rPr>
              <w:t>Conclusions</w:t>
            </w:r>
            <w:r w:rsidR="002F641B">
              <w:rPr>
                <w:noProof/>
                <w:webHidden/>
              </w:rPr>
              <w:tab/>
            </w:r>
            <w:r w:rsidR="002F641B">
              <w:rPr>
                <w:noProof/>
                <w:webHidden/>
              </w:rPr>
              <w:fldChar w:fldCharType="begin"/>
            </w:r>
            <w:r w:rsidR="002F641B">
              <w:rPr>
                <w:noProof/>
                <w:webHidden/>
              </w:rPr>
              <w:instrText xml:space="preserve"> PAGEREF _Toc411453004 \h </w:instrText>
            </w:r>
            <w:r w:rsidR="002F641B">
              <w:rPr>
                <w:noProof/>
                <w:webHidden/>
              </w:rPr>
            </w:r>
            <w:r w:rsidR="002F641B">
              <w:rPr>
                <w:noProof/>
                <w:webHidden/>
              </w:rPr>
              <w:fldChar w:fldCharType="separate"/>
            </w:r>
            <w:r w:rsidR="006440A8">
              <w:rPr>
                <w:noProof/>
                <w:webHidden/>
              </w:rPr>
              <w:t>23</w:t>
            </w:r>
            <w:r w:rsidR="002F641B">
              <w:rPr>
                <w:noProof/>
                <w:webHidden/>
              </w:rPr>
              <w:fldChar w:fldCharType="end"/>
            </w:r>
          </w:hyperlink>
        </w:p>
        <w:p w14:paraId="14302192" w14:textId="77777777" w:rsidR="002F641B" w:rsidRDefault="00E357DD">
          <w:pPr>
            <w:pStyle w:val="TOC1"/>
            <w:tabs>
              <w:tab w:val="left" w:pos="440"/>
              <w:tab w:val="right" w:leader="dot" w:pos="9017"/>
            </w:tabs>
            <w:rPr>
              <w:rFonts w:asciiTheme="minorHAnsi" w:eastAsiaTheme="minorEastAsia" w:hAnsiTheme="minorHAnsi"/>
              <w:noProof/>
              <w:lang w:eastAsia="en-AU"/>
            </w:rPr>
          </w:pPr>
          <w:hyperlink w:anchor="_Toc411453005" w:history="1">
            <w:r w:rsidR="002F641B" w:rsidRPr="00313DB2">
              <w:rPr>
                <w:rStyle w:val="Hyperlink"/>
                <w:noProof/>
              </w:rPr>
              <w:t>5</w:t>
            </w:r>
            <w:r w:rsidR="002F641B">
              <w:rPr>
                <w:rFonts w:asciiTheme="minorHAnsi" w:eastAsiaTheme="minorEastAsia" w:hAnsiTheme="minorHAnsi"/>
                <w:noProof/>
                <w:lang w:eastAsia="en-AU"/>
              </w:rPr>
              <w:tab/>
            </w:r>
            <w:r w:rsidR="002F641B" w:rsidRPr="00313DB2">
              <w:rPr>
                <w:rStyle w:val="Hyperlink"/>
                <w:noProof/>
              </w:rPr>
              <w:t>Appendices</w:t>
            </w:r>
            <w:r w:rsidR="002F641B">
              <w:rPr>
                <w:noProof/>
                <w:webHidden/>
              </w:rPr>
              <w:tab/>
            </w:r>
            <w:r w:rsidR="002F641B">
              <w:rPr>
                <w:noProof/>
                <w:webHidden/>
              </w:rPr>
              <w:fldChar w:fldCharType="begin"/>
            </w:r>
            <w:r w:rsidR="002F641B">
              <w:rPr>
                <w:noProof/>
                <w:webHidden/>
              </w:rPr>
              <w:instrText xml:space="preserve"> PAGEREF _Toc411453005 \h </w:instrText>
            </w:r>
            <w:r w:rsidR="002F641B">
              <w:rPr>
                <w:noProof/>
                <w:webHidden/>
              </w:rPr>
            </w:r>
            <w:r w:rsidR="002F641B">
              <w:rPr>
                <w:noProof/>
                <w:webHidden/>
              </w:rPr>
              <w:fldChar w:fldCharType="separate"/>
            </w:r>
            <w:r w:rsidR="006440A8">
              <w:rPr>
                <w:noProof/>
                <w:webHidden/>
              </w:rPr>
              <w:t>26</w:t>
            </w:r>
            <w:r w:rsidR="002F641B">
              <w:rPr>
                <w:noProof/>
                <w:webHidden/>
              </w:rPr>
              <w:fldChar w:fldCharType="end"/>
            </w:r>
          </w:hyperlink>
        </w:p>
        <w:p w14:paraId="15848B13" w14:textId="77777777" w:rsidR="002F641B" w:rsidRDefault="00E357DD">
          <w:pPr>
            <w:pStyle w:val="TOC2"/>
            <w:tabs>
              <w:tab w:val="right" w:leader="dot" w:pos="9017"/>
            </w:tabs>
            <w:rPr>
              <w:rStyle w:val="Hyperlink"/>
              <w:noProof/>
            </w:rPr>
          </w:pPr>
          <w:hyperlink w:anchor="_Toc411453006" w:history="1">
            <w:r w:rsidR="002F641B" w:rsidRPr="00313DB2">
              <w:rPr>
                <w:rStyle w:val="Hyperlink"/>
                <w:noProof/>
              </w:rPr>
              <w:t>Appendix 1.  Stakeholder discussion guide</w:t>
            </w:r>
            <w:r w:rsidR="002F641B">
              <w:rPr>
                <w:noProof/>
                <w:webHidden/>
              </w:rPr>
              <w:tab/>
            </w:r>
            <w:r w:rsidR="002F641B">
              <w:rPr>
                <w:noProof/>
                <w:webHidden/>
              </w:rPr>
              <w:fldChar w:fldCharType="begin"/>
            </w:r>
            <w:r w:rsidR="002F641B">
              <w:rPr>
                <w:noProof/>
                <w:webHidden/>
              </w:rPr>
              <w:instrText xml:space="preserve"> PAGEREF _Toc411453006 \h </w:instrText>
            </w:r>
            <w:r w:rsidR="002F641B">
              <w:rPr>
                <w:noProof/>
                <w:webHidden/>
              </w:rPr>
            </w:r>
            <w:r w:rsidR="002F641B">
              <w:rPr>
                <w:noProof/>
                <w:webHidden/>
              </w:rPr>
              <w:fldChar w:fldCharType="separate"/>
            </w:r>
            <w:r w:rsidR="006440A8">
              <w:rPr>
                <w:noProof/>
                <w:webHidden/>
              </w:rPr>
              <w:t>26</w:t>
            </w:r>
            <w:r w:rsidR="002F641B">
              <w:rPr>
                <w:noProof/>
                <w:webHidden/>
              </w:rPr>
              <w:fldChar w:fldCharType="end"/>
            </w:r>
          </w:hyperlink>
        </w:p>
        <w:p w14:paraId="4658E9DA" w14:textId="12A05C7C" w:rsidR="00D30F5F" w:rsidRPr="00D30F5F" w:rsidRDefault="00E357DD" w:rsidP="000D2543">
          <w:pPr>
            <w:ind w:left="224"/>
            <w:rPr>
              <w:noProof/>
            </w:rPr>
          </w:pPr>
          <w:hyperlink w:anchor="_Appendix_2._" w:history="1">
            <w:r w:rsidR="000D2543" w:rsidRPr="000D2543">
              <w:rPr>
                <w:rStyle w:val="Hyperlink"/>
                <w:noProof/>
              </w:rPr>
              <w:t>Appendix 2.  Online questio</w:t>
            </w:r>
            <w:r w:rsidR="00A86CFE">
              <w:rPr>
                <w:rStyle w:val="Hyperlink"/>
                <w:noProof/>
              </w:rPr>
              <w:t xml:space="preserve">nnaire ……………………………………………………………. </w:t>
            </w:r>
            <w:r w:rsidR="000D2543" w:rsidRPr="000D2543">
              <w:rPr>
                <w:rStyle w:val="Hyperlink"/>
                <w:noProof/>
              </w:rPr>
              <w:t>28</w:t>
            </w:r>
          </w:hyperlink>
        </w:p>
        <w:p w14:paraId="69D0EA6B" w14:textId="059B8699" w:rsidR="000D2543" w:rsidRPr="00F04BF4" w:rsidRDefault="00882CD5" w:rsidP="00F04BF4">
          <w:r w:rsidRPr="00CD142D">
            <w:fldChar w:fldCharType="end"/>
          </w:r>
        </w:p>
      </w:sdtContent>
    </w:sdt>
    <w:p w14:paraId="2C9229EE" w14:textId="77777777" w:rsidR="0098305B" w:rsidRDefault="0098305B" w:rsidP="00F85F27">
      <w:pPr>
        <w:spacing w:line="240" w:lineRule="auto"/>
        <w:rPr>
          <w:b/>
          <w:sz w:val="28"/>
        </w:rPr>
      </w:pPr>
      <w:r>
        <w:rPr>
          <w:b/>
          <w:sz w:val="28"/>
        </w:rPr>
        <w:br w:type="page"/>
      </w:r>
    </w:p>
    <w:p w14:paraId="7E5F6301" w14:textId="41146716" w:rsidR="006D182D" w:rsidRDefault="00A00B51" w:rsidP="006440A8">
      <w:pPr>
        <w:pStyle w:val="Heading1"/>
        <w:numPr>
          <w:ilvl w:val="0"/>
          <w:numId w:val="0"/>
        </w:numPr>
      </w:pPr>
      <w:bookmarkStart w:id="0" w:name="_Toc411452981"/>
      <w:r>
        <w:lastRenderedPageBreak/>
        <w:t>Executive s</w:t>
      </w:r>
      <w:r w:rsidR="006D182D">
        <w:t>ummary</w:t>
      </w:r>
      <w:bookmarkEnd w:id="0"/>
    </w:p>
    <w:p w14:paraId="2C660B82" w14:textId="77777777" w:rsidR="00AF3824" w:rsidRPr="00971BA2" w:rsidRDefault="00AF3824" w:rsidP="009E73FF">
      <w:pPr>
        <w:pStyle w:val="BodyText1"/>
      </w:pPr>
      <w:r w:rsidRPr="00971BA2">
        <w:t>The Biosecurity Council of Western Australia (the Council) was asked to provide advice on biosecurity investment decision-making. To develop this a</w:t>
      </w:r>
      <w:r w:rsidR="00C65CF4" w:rsidRPr="00971BA2">
        <w:t>dvice, the Council agreed that</w:t>
      </w:r>
      <w:r w:rsidRPr="00971BA2">
        <w:t xml:space="preserve"> clearly defined roles and responsibilities of government, industry and community were a necessary first step to underpin biosecurity investment decisions</w:t>
      </w:r>
      <w:r w:rsidR="00716C19" w:rsidRPr="00971BA2">
        <w:t>. The overall purpose of the research was to develop an agreed and common understanding of the roles and responsibilities of government, industry and community in the delivery of an effective biosecurity system in Western Australia.</w:t>
      </w:r>
    </w:p>
    <w:p w14:paraId="61D454AA" w14:textId="5D422F32" w:rsidR="00AF3824" w:rsidRPr="00971BA2" w:rsidRDefault="00716C19" w:rsidP="009E73FF">
      <w:pPr>
        <w:pStyle w:val="BodyText1"/>
      </w:pPr>
      <w:r w:rsidRPr="00971BA2">
        <w:t xml:space="preserve">A two-stage </w:t>
      </w:r>
      <w:r w:rsidR="002B6468" w:rsidRPr="00971BA2">
        <w:t>stakeholder engagement process</w:t>
      </w:r>
      <w:r w:rsidRPr="00971BA2">
        <w:t xml:space="preserve"> was used, with the first phase involving qualitative discussions with </w:t>
      </w:r>
      <w:r w:rsidR="00AB11CC" w:rsidRPr="00971BA2">
        <w:t>eleven</w:t>
      </w:r>
      <w:r w:rsidRPr="00971BA2">
        <w:t xml:space="preserve"> key organisations (34 participants) across industry, government and community to</w:t>
      </w:r>
      <w:r w:rsidR="00AF3824" w:rsidRPr="00971BA2">
        <w:t xml:space="preserve"> elicit perceptions about biosecurity roles and responsibilities, and principles that underpin these. </w:t>
      </w:r>
      <w:r w:rsidRPr="00971BA2">
        <w:t>These d</w:t>
      </w:r>
      <w:r w:rsidR="00AF3824" w:rsidRPr="00971BA2">
        <w:t xml:space="preserve">ata </w:t>
      </w:r>
      <w:r w:rsidRPr="00971BA2">
        <w:t>w</w:t>
      </w:r>
      <w:r w:rsidR="00AF3824" w:rsidRPr="00971BA2">
        <w:t xml:space="preserve">ere then used to inform </w:t>
      </w:r>
      <w:r w:rsidRPr="00971BA2">
        <w:t>an online questionnaire that was completed by 290 respondents.</w:t>
      </w:r>
    </w:p>
    <w:p w14:paraId="29C0E0D1" w14:textId="77777777" w:rsidR="002B6468" w:rsidRPr="00971BA2" w:rsidRDefault="002B6468" w:rsidP="009E73FF">
      <w:pPr>
        <w:pStyle w:val="BodyText1"/>
      </w:pPr>
      <w:r w:rsidRPr="00971BA2">
        <w:t xml:space="preserve">The process successfully engaged a range of stakeholders across industry, government and community. The process enabled a compelling picture of stakeholder perceptions of the delivery of biosecurity activity within Western Australia, and how industry, government and communities fit within this system. </w:t>
      </w:r>
    </w:p>
    <w:p w14:paraId="677D6A58" w14:textId="77777777" w:rsidR="002B6468" w:rsidRPr="00971BA2" w:rsidRDefault="00197B86" w:rsidP="009E73FF">
      <w:pPr>
        <w:pStyle w:val="BodyText1"/>
      </w:pPr>
      <w:r w:rsidRPr="00971BA2">
        <w:t xml:space="preserve">Biosecurity was confirmed </w:t>
      </w:r>
      <w:r w:rsidR="002B6468" w:rsidRPr="00971BA2">
        <w:t>as an important facet of the Western Australian economy, environment and society. Of particular note was the relatively high level of importance the stakeholders placed on environmental outcomes</w:t>
      </w:r>
      <w:r w:rsidR="00886A99" w:rsidRPr="00971BA2">
        <w:t>, alongside economic outcomes</w:t>
      </w:r>
      <w:r w:rsidRPr="00971BA2">
        <w:t>.</w:t>
      </w:r>
      <w:r w:rsidR="002B6468" w:rsidRPr="00971BA2">
        <w:t xml:space="preserve"> The </w:t>
      </w:r>
      <w:r w:rsidR="00C65CF4" w:rsidRPr="00971BA2">
        <w:t>research</w:t>
      </w:r>
      <w:r w:rsidR="002B6468" w:rsidRPr="00971BA2">
        <w:t xml:space="preserve"> highlighted the need for all citizens to be engaged in biosecurity in order to maximise the effectiveness of Western Australia’s biosecurity system. Furthermore, it was acknowledged that costs should be shared, particularly with industry. In short, biosecurity as a shared responsibility was the underpinning principle that emerged from the stakeholder engagement.</w:t>
      </w:r>
    </w:p>
    <w:p w14:paraId="5165A98E" w14:textId="67A3F474" w:rsidR="002B6468" w:rsidRPr="00971BA2" w:rsidRDefault="003D751F" w:rsidP="009E73FF">
      <w:pPr>
        <w:pStyle w:val="BodyText1"/>
      </w:pPr>
      <w:r w:rsidRPr="00971BA2">
        <w:t>Based on the data, t</w:t>
      </w:r>
      <w:r w:rsidR="002B6468" w:rsidRPr="00971BA2">
        <w:t>he broad roles and responsibilities of industry, government and communities</w:t>
      </w:r>
      <w:r w:rsidR="00197B86" w:rsidRPr="00971BA2">
        <w:t xml:space="preserve"> were identified as follows:</w:t>
      </w:r>
    </w:p>
    <w:p w14:paraId="44268287" w14:textId="77777777" w:rsidR="002B6468" w:rsidRPr="00971BA2" w:rsidRDefault="002B6468" w:rsidP="00E36846">
      <w:pPr>
        <w:pStyle w:val="ListParagraph"/>
        <w:numPr>
          <w:ilvl w:val="0"/>
          <w:numId w:val="21"/>
        </w:numPr>
      </w:pPr>
      <w:r w:rsidRPr="00971BA2">
        <w:t>Everyone has a responsibility to build their understanding and knowledge about biosecurity, report biosecurity issues, and undertake the necessary measures to prevent the introduction and spread of pests, weeds and diseases.</w:t>
      </w:r>
    </w:p>
    <w:p w14:paraId="146A5BFF" w14:textId="6A027538" w:rsidR="002B6468" w:rsidRPr="00971BA2" w:rsidRDefault="002B6468" w:rsidP="00E36846">
      <w:pPr>
        <w:pStyle w:val="ListParagraph"/>
        <w:numPr>
          <w:ilvl w:val="0"/>
          <w:numId w:val="17"/>
        </w:numPr>
      </w:pPr>
      <w:r w:rsidRPr="00971BA2">
        <w:t xml:space="preserve">Industry is responsible for managing their biosecurity risks, engaging with government, raising awareness of biosecurity and </w:t>
      </w:r>
      <w:r w:rsidR="00CD142D" w:rsidRPr="00971BA2">
        <w:t>investing in</w:t>
      </w:r>
      <w:r w:rsidR="0069296B" w:rsidRPr="00971BA2">
        <w:t xml:space="preserve"> </w:t>
      </w:r>
      <w:r w:rsidR="003D751F" w:rsidRPr="00971BA2">
        <w:t>industry-wide</w:t>
      </w:r>
      <w:r w:rsidRPr="00971BA2">
        <w:t xml:space="preserve"> biosecurity activities.</w:t>
      </w:r>
    </w:p>
    <w:p w14:paraId="4F580F24" w14:textId="765B9A09" w:rsidR="002B6468" w:rsidRPr="00971BA2" w:rsidRDefault="002B6468" w:rsidP="00E36846">
      <w:pPr>
        <w:pStyle w:val="ListParagraph"/>
        <w:numPr>
          <w:ilvl w:val="0"/>
          <w:numId w:val="17"/>
        </w:numPr>
      </w:pPr>
      <w:r w:rsidRPr="00971BA2">
        <w:t>Government has a broader role as communicators, educators, facilitators, coordinators, assessors and protectors.</w:t>
      </w:r>
      <w:r w:rsidR="0069296B" w:rsidRPr="00971BA2">
        <w:t xml:space="preserve"> This include</w:t>
      </w:r>
      <w:r w:rsidR="00CD142D" w:rsidRPr="00971BA2">
        <w:t>s</w:t>
      </w:r>
      <w:r w:rsidR="0069296B" w:rsidRPr="00971BA2">
        <w:t xml:space="preserve"> </w:t>
      </w:r>
      <w:r w:rsidR="00C57746" w:rsidRPr="00971BA2">
        <w:t xml:space="preserve">having the resources to participate in </w:t>
      </w:r>
      <w:r w:rsidR="0069296B" w:rsidRPr="00971BA2">
        <w:t xml:space="preserve">broad communication and education </w:t>
      </w:r>
      <w:r w:rsidR="00C57746" w:rsidRPr="00971BA2">
        <w:t>activities</w:t>
      </w:r>
      <w:r w:rsidR="0069296B" w:rsidRPr="00971BA2">
        <w:t>; work</w:t>
      </w:r>
      <w:r w:rsidR="004F4951" w:rsidRPr="00971BA2">
        <w:t>ing</w:t>
      </w:r>
      <w:r w:rsidR="0069296B" w:rsidRPr="00971BA2">
        <w:t xml:space="preserve"> with industry and community on surveillance, era</w:t>
      </w:r>
      <w:r w:rsidR="00C57746" w:rsidRPr="00971BA2">
        <w:t>dication and control activities;</w:t>
      </w:r>
      <w:r w:rsidR="0069296B" w:rsidRPr="00971BA2">
        <w:t xml:space="preserve"> undertak</w:t>
      </w:r>
      <w:r w:rsidR="004F4951" w:rsidRPr="00971BA2">
        <w:t>ing</w:t>
      </w:r>
      <w:r w:rsidR="0069296B" w:rsidRPr="00971BA2">
        <w:t xml:space="preserve"> critical risk assessments</w:t>
      </w:r>
      <w:r w:rsidR="00C57746" w:rsidRPr="00971BA2">
        <w:t xml:space="preserve"> and </w:t>
      </w:r>
      <w:r w:rsidR="0069296B" w:rsidRPr="00971BA2">
        <w:t>analyses</w:t>
      </w:r>
      <w:r w:rsidR="00C57746" w:rsidRPr="00971BA2">
        <w:t>; and implement</w:t>
      </w:r>
      <w:r w:rsidR="004F4951" w:rsidRPr="00971BA2">
        <w:t>ing</w:t>
      </w:r>
      <w:r w:rsidR="0069296B" w:rsidRPr="00971BA2">
        <w:t xml:space="preserve"> preventative measures and emergency response activities.</w:t>
      </w:r>
    </w:p>
    <w:p w14:paraId="0049B930" w14:textId="0AC68995" w:rsidR="003200AD" w:rsidRPr="00971BA2" w:rsidRDefault="002B6468" w:rsidP="009E73FF">
      <w:pPr>
        <w:pStyle w:val="BodyText1"/>
      </w:pPr>
      <w:r w:rsidRPr="00971BA2">
        <w:t>Not-for-profit</w:t>
      </w:r>
      <w:r w:rsidR="00337ABB" w:rsidRPr="00971BA2">
        <w:t xml:space="preserve">, </w:t>
      </w:r>
      <w:r w:rsidR="0024797B" w:rsidRPr="00971BA2">
        <w:t>research</w:t>
      </w:r>
      <w:r w:rsidRPr="00971BA2">
        <w:t xml:space="preserve"> and community organisations </w:t>
      </w:r>
      <w:r w:rsidR="004F4951" w:rsidRPr="00971BA2">
        <w:t xml:space="preserve">were </w:t>
      </w:r>
      <w:r w:rsidRPr="00971BA2">
        <w:t xml:space="preserve">also </w:t>
      </w:r>
      <w:r w:rsidR="004F4951" w:rsidRPr="00971BA2">
        <w:t xml:space="preserve">seen to </w:t>
      </w:r>
      <w:r w:rsidRPr="00971BA2">
        <w:t>play an important role through funding</w:t>
      </w:r>
      <w:r w:rsidR="003200AD" w:rsidRPr="00971BA2">
        <w:t xml:space="preserve"> and human resources,</w:t>
      </w:r>
      <w:r w:rsidRPr="00971BA2">
        <w:t xml:space="preserve"> </w:t>
      </w:r>
      <w:r w:rsidR="003200AD" w:rsidRPr="00971BA2">
        <w:t xml:space="preserve">the </w:t>
      </w:r>
      <w:r w:rsidRPr="00971BA2">
        <w:t xml:space="preserve">delivery of biosecurity-related research and on-ground programs, </w:t>
      </w:r>
      <w:r w:rsidR="003200AD" w:rsidRPr="00971BA2">
        <w:t xml:space="preserve">fundraising, </w:t>
      </w:r>
      <w:r w:rsidRPr="00971BA2">
        <w:t>communications and awareness-raising activities.</w:t>
      </w:r>
    </w:p>
    <w:p w14:paraId="5C315945" w14:textId="77777777" w:rsidR="00971BA2" w:rsidRDefault="00971BA2">
      <w:pPr>
        <w:spacing w:line="240" w:lineRule="auto"/>
        <w:jc w:val="center"/>
      </w:pPr>
      <w:r>
        <w:br w:type="page"/>
      </w:r>
    </w:p>
    <w:p w14:paraId="27522980" w14:textId="1B546354" w:rsidR="002B6468" w:rsidRPr="00971BA2" w:rsidRDefault="00197B86" w:rsidP="009E73FF">
      <w:pPr>
        <w:pStyle w:val="BodyText1"/>
      </w:pPr>
      <w:r w:rsidRPr="00971BA2">
        <w:lastRenderedPageBreak/>
        <w:t xml:space="preserve">The stakeholder engagement process identified </w:t>
      </w:r>
      <w:r w:rsidR="00A9681E" w:rsidRPr="00971BA2">
        <w:t>six</w:t>
      </w:r>
      <w:r w:rsidR="002B6468" w:rsidRPr="00971BA2">
        <w:t xml:space="preserve"> key </w:t>
      </w:r>
      <w:r w:rsidRPr="00971BA2">
        <w:t>areas</w:t>
      </w:r>
      <w:r w:rsidR="002B6468" w:rsidRPr="00971BA2">
        <w:t xml:space="preserve"> </w:t>
      </w:r>
      <w:r w:rsidRPr="00971BA2">
        <w:t>as integral to a robust</w:t>
      </w:r>
      <w:r w:rsidR="001C6E68">
        <w:t xml:space="preserve"> biosecurity system:</w:t>
      </w:r>
      <w:r w:rsidR="002B6468" w:rsidRPr="00971BA2">
        <w:t xml:space="preserve"> </w:t>
      </w:r>
    </w:p>
    <w:p w14:paraId="160EDCC9" w14:textId="53438570" w:rsidR="002B6468" w:rsidRPr="00971BA2" w:rsidRDefault="002B6468" w:rsidP="00E36846">
      <w:pPr>
        <w:pStyle w:val="ListParagraph"/>
        <w:numPr>
          <w:ilvl w:val="0"/>
          <w:numId w:val="34"/>
        </w:numPr>
      </w:pPr>
      <w:r w:rsidRPr="00971BA2">
        <w:t>Collaborat</w:t>
      </w:r>
      <w:r w:rsidR="00A9681E" w:rsidRPr="00971BA2">
        <w:t>ion</w:t>
      </w:r>
      <w:r w:rsidRPr="00971BA2">
        <w:t>, cooperat</w:t>
      </w:r>
      <w:r w:rsidR="00A9681E" w:rsidRPr="00971BA2">
        <w:t>ion</w:t>
      </w:r>
      <w:r w:rsidRPr="00971BA2">
        <w:t xml:space="preserve"> and communicat</w:t>
      </w:r>
      <w:r w:rsidR="00A9681E" w:rsidRPr="00971BA2">
        <w:t>ion</w:t>
      </w:r>
      <w:r w:rsidRPr="00971BA2">
        <w:t xml:space="preserve"> with key organisations or individuals with a strong stake in the issue to ensure support, understanding</w:t>
      </w:r>
      <w:r w:rsidR="00A9681E" w:rsidRPr="00971BA2">
        <w:t xml:space="preserve"> and</w:t>
      </w:r>
      <w:r w:rsidRPr="00971BA2">
        <w:t xml:space="preserve"> ownership</w:t>
      </w:r>
      <w:r w:rsidR="00A9681E" w:rsidRPr="00971BA2">
        <w:t>, increase</w:t>
      </w:r>
      <w:r w:rsidRPr="00971BA2">
        <w:t xml:space="preserve"> efficiencies and </w:t>
      </w:r>
      <w:r w:rsidR="00A9681E" w:rsidRPr="00971BA2">
        <w:t xml:space="preserve">build </w:t>
      </w:r>
      <w:r w:rsidRPr="00971BA2">
        <w:t>stro</w:t>
      </w:r>
      <w:r w:rsidR="001C6E68">
        <w:t>nger relationships and networks</w:t>
      </w:r>
    </w:p>
    <w:p w14:paraId="5338BF3E" w14:textId="4E817B16" w:rsidR="002B6468" w:rsidRPr="00971BA2" w:rsidRDefault="002B6468" w:rsidP="00E36846">
      <w:pPr>
        <w:pStyle w:val="ListParagraph"/>
        <w:numPr>
          <w:ilvl w:val="0"/>
          <w:numId w:val="34"/>
        </w:numPr>
      </w:pPr>
      <w:r w:rsidRPr="00971BA2">
        <w:t>Broad engagement, education and awareness-raising to develop and maintain widespread suppo</w:t>
      </w:r>
      <w:r w:rsidR="00CD142D" w:rsidRPr="00971BA2">
        <w:t>rt for the s</w:t>
      </w:r>
      <w:r w:rsidR="001C6E68">
        <w:t>tate’s biosecurity</w:t>
      </w:r>
    </w:p>
    <w:p w14:paraId="430D9E84" w14:textId="56A499AE" w:rsidR="002B6468" w:rsidRPr="00971BA2" w:rsidRDefault="002B6468" w:rsidP="00E36846">
      <w:pPr>
        <w:pStyle w:val="ListParagraph"/>
        <w:numPr>
          <w:ilvl w:val="0"/>
          <w:numId w:val="34"/>
        </w:numPr>
      </w:pPr>
      <w:r w:rsidRPr="00971BA2">
        <w:t>Prioritis</w:t>
      </w:r>
      <w:r w:rsidR="00A9681E" w:rsidRPr="00971BA2">
        <w:t>ing</w:t>
      </w:r>
      <w:r w:rsidRPr="00971BA2">
        <w:t xml:space="preserve"> areas for investment using justifiable risk management and science-based processes to provide the greatest return on investment</w:t>
      </w:r>
      <w:r w:rsidR="003200AD" w:rsidRPr="00971BA2">
        <w:t xml:space="preserve"> (economic, environmental and/or social)</w:t>
      </w:r>
      <w:r w:rsidRPr="00971BA2">
        <w:t>, and to facilitate stak</w:t>
      </w:r>
      <w:r w:rsidR="001C6E68">
        <w:t>eholder acceptance of decisions</w:t>
      </w:r>
    </w:p>
    <w:p w14:paraId="7C87047E" w14:textId="71CBA751" w:rsidR="002B6468" w:rsidRPr="00971BA2" w:rsidRDefault="00A9681E" w:rsidP="00E36846">
      <w:pPr>
        <w:pStyle w:val="ListParagraph"/>
        <w:numPr>
          <w:ilvl w:val="0"/>
          <w:numId w:val="34"/>
        </w:numPr>
      </w:pPr>
      <w:r w:rsidRPr="00971BA2">
        <w:t>R</w:t>
      </w:r>
      <w:r w:rsidR="002B6468" w:rsidRPr="00971BA2">
        <w:t>obust</w:t>
      </w:r>
      <w:r w:rsidR="003200AD" w:rsidRPr="00971BA2">
        <w:t>, but practical,</w:t>
      </w:r>
      <w:r w:rsidR="002B6468" w:rsidRPr="00971BA2">
        <w:t xml:space="preserve"> legislation </w:t>
      </w:r>
      <w:r w:rsidRPr="00971BA2">
        <w:t>that is</w:t>
      </w:r>
      <w:r w:rsidR="002B6468" w:rsidRPr="00971BA2">
        <w:t xml:space="preserve"> enforce</w:t>
      </w:r>
      <w:r w:rsidRPr="00971BA2">
        <w:t>d</w:t>
      </w:r>
      <w:r w:rsidR="002B6468" w:rsidRPr="00971BA2">
        <w:t xml:space="preserve"> to ensure the integrity of the syste</w:t>
      </w:r>
      <w:r w:rsidR="001C6E68">
        <w:t>m is maintained</w:t>
      </w:r>
    </w:p>
    <w:p w14:paraId="62C44E1B" w14:textId="77374FDC" w:rsidR="002B6468" w:rsidRPr="00971BA2" w:rsidRDefault="00A9681E" w:rsidP="00E36846">
      <w:pPr>
        <w:pStyle w:val="ListParagraph"/>
        <w:numPr>
          <w:ilvl w:val="0"/>
          <w:numId w:val="34"/>
        </w:numPr>
      </w:pPr>
      <w:r w:rsidRPr="00971BA2">
        <w:t>A</w:t>
      </w:r>
      <w:r w:rsidR="002B6468" w:rsidRPr="00971BA2">
        <w:t>dequate level</w:t>
      </w:r>
      <w:r w:rsidRPr="00971BA2">
        <w:t>s</w:t>
      </w:r>
      <w:r w:rsidR="002B6468" w:rsidRPr="00971BA2">
        <w:t xml:space="preserve"> of preparedness to ensure Western Australia is always read</w:t>
      </w:r>
      <w:r w:rsidR="001C6E68">
        <w:t>y to tackle biosecurity threats</w:t>
      </w:r>
    </w:p>
    <w:p w14:paraId="1FF55739" w14:textId="644BF93A" w:rsidR="002B6468" w:rsidRPr="00971BA2" w:rsidRDefault="002B6468" w:rsidP="00E36846">
      <w:pPr>
        <w:pStyle w:val="ListParagraph"/>
        <w:numPr>
          <w:ilvl w:val="0"/>
          <w:numId w:val="34"/>
        </w:numPr>
      </w:pPr>
      <w:r w:rsidRPr="00971BA2">
        <w:t>Research, innovation and continuous improvement to enable a flexible biosecurity system that can a</w:t>
      </w:r>
      <w:r w:rsidR="001C6E68">
        <w:t>djust to changing circumstances.</w:t>
      </w:r>
    </w:p>
    <w:p w14:paraId="221FF163" w14:textId="19B60EAA" w:rsidR="002B6468" w:rsidRPr="00971BA2" w:rsidRDefault="002B6468" w:rsidP="009E73FF">
      <w:pPr>
        <w:pStyle w:val="BodyText1"/>
      </w:pPr>
      <w:r w:rsidRPr="00971BA2">
        <w:t xml:space="preserve">In addition to the above, adequate government resourcing for biosecurity activity was identified as a top need to maintain or improve Western Australia’s biosecurity. Declining government resourcing for biosecurity has stimulated the need to target government investment toward priority areas. In turn, this has increased the focus on collaborative partnerships with industry and community in order to ensure the key components of the </w:t>
      </w:r>
      <w:r w:rsidR="00CD142D" w:rsidRPr="00971BA2">
        <w:t>state</w:t>
      </w:r>
      <w:r w:rsidRPr="00971BA2">
        <w:t>’s biosecurity system are preserved.</w:t>
      </w:r>
    </w:p>
    <w:p w14:paraId="417F6303" w14:textId="45BC3ADF" w:rsidR="00AF3824" w:rsidRPr="00971BA2" w:rsidRDefault="002B6468" w:rsidP="009E73FF">
      <w:pPr>
        <w:pStyle w:val="BodyText1"/>
      </w:pPr>
      <w:r w:rsidRPr="00971BA2">
        <w:t>Successful partnerships require clearly defined roles and responsibilities, and the findings presented here can provide a strong foundation for further exploration of this. Given the current environment, there is a clear need for transparent and consistent processes for determining who should invest resources where, as well as a need to clearly justify these decisions. Such decisions should be made collaboratively, and should emphasise the areas that provide the greatest return on investment.</w:t>
      </w:r>
      <w:r w:rsidR="006C2FF6" w:rsidRPr="00971BA2">
        <w:t xml:space="preserve"> </w:t>
      </w:r>
    </w:p>
    <w:p w14:paraId="4F064341" w14:textId="77777777" w:rsidR="006D182D" w:rsidRPr="00971BA2" w:rsidRDefault="006D182D" w:rsidP="00F85F27">
      <w:r w:rsidRPr="00971BA2">
        <w:br w:type="page"/>
      </w:r>
    </w:p>
    <w:p w14:paraId="3E4EF44C" w14:textId="77777777" w:rsidR="00BB103E" w:rsidRPr="00376FE5" w:rsidRDefault="00BB103E" w:rsidP="006440A8">
      <w:pPr>
        <w:pStyle w:val="Heading1"/>
      </w:pPr>
      <w:bookmarkStart w:id="1" w:name="_Toc411452982"/>
      <w:r w:rsidRPr="00376FE5">
        <w:lastRenderedPageBreak/>
        <w:t>Introduction</w:t>
      </w:r>
      <w:bookmarkEnd w:id="1"/>
    </w:p>
    <w:p w14:paraId="75FEDFB9" w14:textId="77777777" w:rsidR="00C42973" w:rsidRDefault="00C42973" w:rsidP="00F97828">
      <w:pPr>
        <w:pStyle w:val="Heading2"/>
      </w:pPr>
      <w:bookmarkStart w:id="2" w:name="_Toc411452983"/>
      <w:r>
        <w:t>Background</w:t>
      </w:r>
      <w:bookmarkEnd w:id="2"/>
    </w:p>
    <w:p w14:paraId="4DD9AD6C" w14:textId="77777777" w:rsidR="00C42973" w:rsidRPr="00CD142D" w:rsidRDefault="00583CA8" w:rsidP="009E73FF">
      <w:pPr>
        <w:pStyle w:val="BodyText1"/>
      </w:pPr>
      <w:r w:rsidRPr="00CD142D">
        <w:t xml:space="preserve">The Biosecurity Council of Western Australia (the Council) was asked by the Minister for Agriculture and Food </w:t>
      </w:r>
      <w:r w:rsidR="009C036D" w:rsidRPr="00CD142D">
        <w:t xml:space="preserve">(the Minister) </w:t>
      </w:r>
      <w:r w:rsidRPr="00CD142D">
        <w:t xml:space="preserve">to provide </w:t>
      </w:r>
      <w:r w:rsidR="005D77F7" w:rsidRPr="00CD142D">
        <w:t xml:space="preserve">advice on </w:t>
      </w:r>
      <w:r w:rsidRPr="00CD142D">
        <w:t>‘effective points of obligation where private beneficiaries can contribute to biosecurity measures’.</w:t>
      </w:r>
      <w:r w:rsidR="00A35435" w:rsidRPr="00CD142D">
        <w:t xml:space="preserve"> In order to develop advice that is supported by industry, government and community, the Council developed a Sta</w:t>
      </w:r>
      <w:r w:rsidR="00060AD6" w:rsidRPr="00CD142D">
        <w:t>keholder Engagement Plan</w:t>
      </w:r>
      <w:r w:rsidR="00A35435" w:rsidRPr="00CD142D">
        <w:t xml:space="preserve"> that identified the key stakeholders and detailed the process to be used to engage with these stakeholders. </w:t>
      </w:r>
      <w:r w:rsidR="000F7803" w:rsidRPr="00CD142D">
        <w:t>A working group was formed to coordinate the delivery of the Engagement Plan.</w:t>
      </w:r>
    </w:p>
    <w:p w14:paraId="32DEF3C2" w14:textId="77777777" w:rsidR="00EE203A" w:rsidRPr="00CD142D" w:rsidRDefault="00182DC8" w:rsidP="009E73FF">
      <w:pPr>
        <w:pStyle w:val="BodyText1"/>
      </w:pPr>
      <w:r w:rsidRPr="00CD142D">
        <w:t xml:space="preserve">The </w:t>
      </w:r>
      <w:r w:rsidR="00C42973" w:rsidRPr="00CD142D">
        <w:t xml:space="preserve">overall </w:t>
      </w:r>
      <w:r w:rsidRPr="00CD142D">
        <w:t>purpose</w:t>
      </w:r>
      <w:r w:rsidR="00C42973" w:rsidRPr="00CD142D">
        <w:t xml:space="preserve"> of the stakeholder engagement </w:t>
      </w:r>
      <w:r w:rsidR="00E33A75" w:rsidRPr="00CD142D">
        <w:t>was</w:t>
      </w:r>
      <w:r w:rsidRPr="00CD142D">
        <w:t xml:space="preserve"> to develop an agreed and common understanding of the roles and responsibilities of government, industry and community in the delivery of an effective biosecurity system </w:t>
      </w:r>
      <w:r w:rsidR="00C42973" w:rsidRPr="00CD142D">
        <w:t>in</w:t>
      </w:r>
      <w:r w:rsidRPr="00CD142D">
        <w:t xml:space="preserve"> Western Australia.</w:t>
      </w:r>
    </w:p>
    <w:p w14:paraId="2E3A260E" w14:textId="24389C64" w:rsidR="00C42973" w:rsidRPr="00CD142D" w:rsidRDefault="00C42973" w:rsidP="009E73FF">
      <w:pPr>
        <w:pStyle w:val="BodyText1"/>
      </w:pPr>
      <w:r w:rsidRPr="00CD142D">
        <w:t>The engagement focuse</w:t>
      </w:r>
      <w:r w:rsidR="00E33A75" w:rsidRPr="00CD142D">
        <w:t>d</w:t>
      </w:r>
      <w:r w:rsidRPr="00CD142D">
        <w:t xml:space="preserve"> on biosecurity activities to address a) established pests an</w:t>
      </w:r>
      <w:r w:rsidR="00C25602">
        <w:t>d diseases; and b) prevention/</w:t>
      </w:r>
      <w:r w:rsidRPr="00CD142D">
        <w:t xml:space="preserve">eradication of pests or diseases that are not yet established in WA but are considered endemic in other parts of the country. </w:t>
      </w:r>
    </w:p>
    <w:p w14:paraId="07D2B2FE" w14:textId="77777777" w:rsidR="00CE1416" w:rsidRPr="00CD142D" w:rsidRDefault="00E33A75" w:rsidP="009E73FF">
      <w:pPr>
        <w:pStyle w:val="BodyText1"/>
      </w:pPr>
      <w:r w:rsidRPr="00CD142D">
        <w:t>There we</w:t>
      </w:r>
      <w:r w:rsidR="00CE1416" w:rsidRPr="00CD142D">
        <w:t xml:space="preserve">re </w:t>
      </w:r>
      <w:r w:rsidR="0096764A" w:rsidRPr="00CD142D">
        <w:t>two</w:t>
      </w:r>
      <w:r w:rsidR="00CE1416" w:rsidRPr="00CD142D">
        <w:t xml:space="preserve"> phases to the stakeholder engagement:</w:t>
      </w:r>
    </w:p>
    <w:p w14:paraId="39296DD3" w14:textId="77777777" w:rsidR="00CE1416" w:rsidRPr="00CD142D" w:rsidRDefault="00CE1416" w:rsidP="00E36846">
      <w:pPr>
        <w:pStyle w:val="ListParagraph"/>
        <w:numPr>
          <w:ilvl w:val="0"/>
          <w:numId w:val="25"/>
        </w:numPr>
      </w:pPr>
      <w:r w:rsidRPr="00CD142D">
        <w:t>Phase 1 – stakeholder discussions</w:t>
      </w:r>
    </w:p>
    <w:p w14:paraId="0567104C" w14:textId="77777777" w:rsidR="00CE1416" w:rsidRPr="00CD142D" w:rsidRDefault="00CE1416" w:rsidP="00E36846">
      <w:pPr>
        <w:pStyle w:val="ListParagraph"/>
        <w:numPr>
          <w:ilvl w:val="0"/>
          <w:numId w:val="25"/>
        </w:numPr>
      </w:pPr>
      <w:r w:rsidRPr="00CD142D">
        <w:t>Phase 2 – online survey</w:t>
      </w:r>
    </w:p>
    <w:p w14:paraId="5DE8E283" w14:textId="77777777" w:rsidR="0096764A" w:rsidRPr="00CD142D" w:rsidRDefault="0096764A" w:rsidP="009E73FF">
      <w:pPr>
        <w:pStyle w:val="BodyText1"/>
      </w:pPr>
      <w:r w:rsidRPr="00CD142D">
        <w:t xml:space="preserve">Furthermore, a collaborative approach was taken whereby key stakeholders had opportunities to be involved in the development of the engagement process and input to the subsequent reports. </w:t>
      </w:r>
    </w:p>
    <w:p w14:paraId="4A46B08D" w14:textId="77777777" w:rsidR="001A4226" w:rsidRPr="00CD142D" w:rsidRDefault="00C42973" w:rsidP="009E73FF">
      <w:pPr>
        <w:pStyle w:val="BodyText1"/>
      </w:pPr>
      <w:r w:rsidRPr="00CD142D">
        <w:t xml:space="preserve">This report provides the results of </w:t>
      </w:r>
      <w:r w:rsidR="000537E8" w:rsidRPr="00CD142D">
        <w:t>the stakeholder engagement</w:t>
      </w:r>
      <w:r w:rsidR="0096764A" w:rsidRPr="00CD142D">
        <w:t xml:space="preserve"> (phase one and two)</w:t>
      </w:r>
      <w:r w:rsidRPr="00CD142D">
        <w:t>.</w:t>
      </w:r>
    </w:p>
    <w:p w14:paraId="5635D2A9" w14:textId="77777777" w:rsidR="00C42973" w:rsidRPr="00CD142D" w:rsidRDefault="00EE203A" w:rsidP="00F97828">
      <w:pPr>
        <w:pStyle w:val="Heading2"/>
      </w:pPr>
      <w:bookmarkStart w:id="3" w:name="_Toc411452984"/>
      <w:r w:rsidRPr="00CD142D">
        <w:t>Purpose</w:t>
      </w:r>
      <w:bookmarkEnd w:id="3"/>
    </w:p>
    <w:p w14:paraId="69DF8026" w14:textId="77777777" w:rsidR="00CE1416" w:rsidRPr="00CD142D" w:rsidRDefault="00CE1416" w:rsidP="00F85F27">
      <w:pPr>
        <w:rPr>
          <w:rFonts w:cs="Arial"/>
          <w:i/>
        </w:rPr>
      </w:pPr>
      <w:r w:rsidRPr="00CD142D">
        <w:rPr>
          <w:rFonts w:cs="Arial"/>
          <w:i/>
        </w:rPr>
        <w:t>Phase 1 – stakeholder discussions</w:t>
      </w:r>
    </w:p>
    <w:p w14:paraId="3E441B14" w14:textId="2AD46758" w:rsidR="00C42973" w:rsidRPr="00CD142D" w:rsidRDefault="00EE203A" w:rsidP="00F85F27">
      <w:pPr>
        <w:rPr>
          <w:rFonts w:cs="Arial"/>
        </w:rPr>
      </w:pPr>
      <w:r w:rsidRPr="00CD142D">
        <w:rPr>
          <w:rFonts w:cs="Arial"/>
        </w:rPr>
        <w:t>The purpose of the stakeholder discussions was to elicit perceptions about biosecurity roles and responsibilities, and principles that underpin these.</w:t>
      </w:r>
      <w:r w:rsidR="00CE1416" w:rsidRPr="00CD142D">
        <w:rPr>
          <w:rFonts w:cs="Arial"/>
        </w:rPr>
        <w:t xml:space="preserve"> </w:t>
      </w:r>
      <w:r w:rsidRPr="00CD142D">
        <w:rPr>
          <w:rFonts w:cs="Arial"/>
        </w:rPr>
        <w:t xml:space="preserve">More specifically, the </w:t>
      </w:r>
      <w:r w:rsidR="000537E8" w:rsidRPr="00CD142D">
        <w:rPr>
          <w:rFonts w:cs="Arial"/>
        </w:rPr>
        <w:t>objectives were to</w:t>
      </w:r>
      <w:r w:rsidR="00C25602">
        <w:rPr>
          <w:rFonts w:cs="Arial"/>
        </w:rPr>
        <w:t>:</w:t>
      </w:r>
      <w:r w:rsidR="000537E8" w:rsidRPr="00CD142D">
        <w:rPr>
          <w:rFonts w:cs="Arial"/>
        </w:rPr>
        <w:t xml:space="preserve"> </w:t>
      </w:r>
    </w:p>
    <w:p w14:paraId="55CFAFF9" w14:textId="3624B2B4" w:rsidR="000537E8" w:rsidRPr="00CD142D" w:rsidRDefault="00C25602" w:rsidP="00E36846">
      <w:pPr>
        <w:pStyle w:val="ListParagraph"/>
        <w:numPr>
          <w:ilvl w:val="0"/>
          <w:numId w:val="9"/>
        </w:numPr>
      </w:pPr>
      <w:r>
        <w:t>i</w:t>
      </w:r>
      <w:r w:rsidR="000537E8" w:rsidRPr="00CD142D">
        <w:t xml:space="preserve">dentify the importance </w:t>
      </w:r>
      <w:r w:rsidR="00854287" w:rsidRPr="00CD142D">
        <w:t>or</w:t>
      </w:r>
      <w:r w:rsidR="000537E8" w:rsidRPr="00CD142D">
        <w:t xml:space="preserve"> value of</w:t>
      </w:r>
      <w:r>
        <w:t xml:space="preserve"> biosecurity to the stakeholder</w:t>
      </w:r>
    </w:p>
    <w:p w14:paraId="1B9EB7E7" w14:textId="0F8E8DD9" w:rsidR="000537E8" w:rsidRPr="00CD142D" w:rsidRDefault="00C25602" w:rsidP="00E36846">
      <w:pPr>
        <w:pStyle w:val="ListParagraph"/>
        <w:numPr>
          <w:ilvl w:val="0"/>
          <w:numId w:val="9"/>
        </w:numPr>
      </w:pPr>
      <w:r>
        <w:t>i</w:t>
      </w:r>
      <w:r w:rsidR="00854287" w:rsidRPr="00CD142D">
        <w:t>dentify the perceived roles and</w:t>
      </w:r>
      <w:r w:rsidR="000537E8" w:rsidRPr="00CD142D">
        <w:t xml:space="preserve"> responsibilities of industry, government and communi</w:t>
      </w:r>
      <w:r>
        <w:t>ty, in terms of biosecurity</w:t>
      </w:r>
    </w:p>
    <w:p w14:paraId="3301E798" w14:textId="620B56DF" w:rsidR="00EE203A" w:rsidRPr="00CD142D" w:rsidRDefault="00C25602" w:rsidP="00E36846">
      <w:pPr>
        <w:pStyle w:val="ListParagraph"/>
        <w:numPr>
          <w:ilvl w:val="0"/>
          <w:numId w:val="9"/>
        </w:numPr>
      </w:pPr>
      <w:r>
        <w:t>i</w:t>
      </w:r>
      <w:r w:rsidR="000537E8" w:rsidRPr="00CD142D">
        <w:t>dentify barriers and benefits of b</w:t>
      </w:r>
      <w:r w:rsidR="00EE203A" w:rsidRPr="00CD142D">
        <w:t>iosecurity to Western Australia</w:t>
      </w:r>
    </w:p>
    <w:p w14:paraId="6B1E816A" w14:textId="60E823C8" w:rsidR="000537E8" w:rsidRPr="00CD142D" w:rsidRDefault="00C25602" w:rsidP="00E36846">
      <w:pPr>
        <w:pStyle w:val="ListParagraph"/>
        <w:numPr>
          <w:ilvl w:val="0"/>
          <w:numId w:val="9"/>
        </w:numPr>
      </w:pPr>
      <w:proofErr w:type="gramStart"/>
      <w:r>
        <w:t>b</w:t>
      </w:r>
      <w:r w:rsidR="000537E8" w:rsidRPr="00CD142D">
        <w:t>uild</w:t>
      </w:r>
      <w:proofErr w:type="gramEnd"/>
      <w:r w:rsidR="000537E8" w:rsidRPr="00CD142D">
        <w:t xml:space="preserve"> relationships with key stakeholders to enhance future opportunities.</w:t>
      </w:r>
    </w:p>
    <w:p w14:paraId="0C57BF7D" w14:textId="77777777" w:rsidR="00C42973" w:rsidRPr="00CD142D" w:rsidRDefault="000537E8" w:rsidP="00F85F27">
      <w:r w:rsidRPr="00CD142D">
        <w:t xml:space="preserve">Data collected via the stakeholder </w:t>
      </w:r>
      <w:r w:rsidR="00CE1416" w:rsidRPr="00CD142D">
        <w:t>discussions were then</w:t>
      </w:r>
      <w:r w:rsidRPr="00CD142D">
        <w:t xml:space="preserve"> used to inform the development of an online questionnaire (phase 2 of the stakeholder engagement).</w:t>
      </w:r>
    </w:p>
    <w:p w14:paraId="1D59DB2E" w14:textId="77777777" w:rsidR="00CE1416" w:rsidRPr="00CD142D" w:rsidRDefault="00CE1416" w:rsidP="00F85F27">
      <w:pPr>
        <w:rPr>
          <w:i/>
        </w:rPr>
      </w:pPr>
      <w:r w:rsidRPr="00CD142D">
        <w:rPr>
          <w:i/>
        </w:rPr>
        <w:t>Phase 2 – online survey</w:t>
      </w:r>
    </w:p>
    <w:p w14:paraId="1B3A331A" w14:textId="77777777" w:rsidR="008429E0" w:rsidRPr="00CD142D" w:rsidRDefault="00CE1416" w:rsidP="00F85F27">
      <w:pPr>
        <w:rPr>
          <w:b/>
        </w:rPr>
      </w:pPr>
      <w:r w:rsidRPr="00CD142D">
        <w:rPr>
          <w:rFonts w:cs="Arial"/>
        </w:rPr>
        <w:t>The purpose of the online survey was to quantify the significant themes, issues and ideas identified through phase 1. In doing so, it was anticipated that a clearer picture of biosecurity roles</w:t>
      </w:r>
      <w:r w:rsidR="00E33A75" w:rsidRPr="00CD142D">
        <w:rPr>
          <w:rFonts w:cs="Arial"/>
        </w:rPr>
        <w:t>,</w:t>
      </w:r>
      <w:r w:rsidRPr="00CD142D">
        <w:rPr>
          <w:rFonts w:cs="Arial"/>
        </w:rPr>
        <w:t xml:space="preserve"> responsibilities and principles would emerge</w:t>
      </w:r>
      <w:r w:rsidR="00E33A75" w:rsidRPr="00CD142D">
        <w:rPr>
          <w:rFonts w:cs="Arial"/>
        </w:rPr>
        <w:t>,</w:t>
      </w:r>
      <w:r w:rsidRPr="00CD142D">
        <w:rPr>
          <w:rFonts w:cs="Arial"/>
        </w:rPr>
        <w:t xml:space="preserve"> as well as </w:t>
      </w:r>
      <w:r w:rsidR="00E33A75" w:rsidRPr="00CD142D">
        <w:rPr>
          <w:rFonts w:cs="Arial"/>
        </w:rPr>
        <w:t xml:space="preserve">the </w:t>
      </w:r>
      <w:r w:rsidRPr="00CD142D">
        <w:rPr>
          <w:rFonts w:cs="Arial"/>
        </w:rPr>
        <w:t>priority issues to be addressed.</w:t>
      </w:r>
      <w:r w:rsidR="008429E0" w:rsidRPr="00CD142D">
        <w:rPr>
          <w:b/>
        </w:rPr>
        <w:br w:type="page"/>
      </w:r>
    </w:p>
    <w:p w14:paraId="22C7398C" w14:textId="77777777" w:rsidR="00BB103E" w:rsidRPr="00376FE5" w:rsidRDefault="000537E8" w:rsidP="006440A8">
      <w:pPr>
        <w:pStyle w:val="Heading1"/>
      </w:pPr>
      <w:bookmarkStart w:id="4" w:name="_Toc411452985"/>
      <w:r w:rsidRPr="00376FE5">
        <w:lastRenderedPageBreak/>
        <w:t>Methods</w:t>
      </w:r>
      <w:bookmarkEnd w:id="4"/>
    </w:p>
    <w:p w14:paraId="4FF7862D" w14:textId="77777777" w:rsidR="00E64761" w:rsidRDefault="00E64761" w:rsidP="00F97828">
      <w:pPr>
        <w:pStyle w:val="Heading2"/>
      </w:pPr>
      <w:bookmarkStart w:id="5" w:name="_Toc411452986"/>
      <w:r>
        <w:t>Stakeholder</w:t>
      </w:r>
      <w:r w:rsidR="00B21E3B">
        <w:t>s</w:t>
      </w:r>
      <w:bookmarkEnd w:id="5"/>
    </w:p>
    <w:p w14:paraId="65E34FC7" w14:textId="0037E308" w:rsidR="00A00942" w:rsidRDefault="0096272F" w:rsidP="009E73FF">
      <w:pPr>
        <w:pStyle w:val="BodyText1"/>
      </w:pPr>
      <w:r>
        <w:t>The key stakeholder</w:t>
      </w:r>
      <w:r w:rsidR="00FE0A68">
        <w:t xml:space="preserve"> organisations</w:t>
      </w:r>
      <w:r>
        <w:t xml:space="preserve"> to be involved in the </w:t>
      </w:r>
      <w:r w:rsidR="00CE1416">
        <w:t>consultation</w:t>
      </w:r>
      <w:r>
        <w:t xml:space="preserve"> </w:t>
      </w:r>
      <w:r w:rsidR="00FE0A68">
        <w:t xml:space="preserve">were identified </w:t>
      </w:r>
      <w:r>
        <w:t>and mapp</w:t>
      </w:r>
      <w:r w:rsidR="00FE0A68">
        <w:t>ed</w:t>
      </w:r>
      <w:r>
        <w:t xml:space="preserve"> using </w:t>
      </w:r>
      <w:r w:rsidR="00A00942">
        <w:t>a tool developed by Dr M Butcher, based on the work of P Sandman (Figure 1).</w:t>
      </w:r>
      <w:bookmarkStart w:id="6" w:name="_GoBack"/>
      <w:bookmarkEnd w:id="6"/>
    </w:p>
    <w:p w14:paraId="5C78608E" w14:textId="77777777" w:rsidR="00B21E3B" w:rsidRDefault="00161427" w:rsidP="009E73FF">
      <w:pPr>
        <w:pStyle w:val="BodyText1"/>
      </w:pPr>
      <w:r>
        <w:t>Initially, s</w:t>
      </w:r>
      <w:r w:rsidR="00B21E3B">
        <w:t xml:space="preserve">takeholder discussions were </w:t>
      </w:r>
      <w:r>
        <w:t xml:space="preserve">to be </w:t>
      </w:r>
      <w:r w:rsidR="00B21E3B">
        <w:t xml:space="preserve">undertaken with those identified at the ‘Collaborate’ </w:t>
      </w:r>
      <w:r>
        <w:t xml:space="preserve">and ‘Involve’ </w:t>
      </w:r>
      <w:r w:rsidR="00B21E3B">
        <w:t>level</w:t>
      </w:r>
      <w:r>
        <w:t>s</w:t>
      </w:r>
      <w:r w:rsidR="00B21E3B">
        <w:t xml:space="preserve">. </w:t>
      </w:r>
      <w:r>
        <w:t xml:space="preserve">However, </w:t>
      </w:r>
      <w:r w:rsidR="00F7441C">
        <w:t>due</w:t>
      </w:r>
      <w:r>
        <w:t xml:space="preserve"> to time constraints, it was decided that</w:t>
      </w:r>
      <w:r w:rsidR="00B21E3B">
        <w:t xml:space="preserve"> </w:t>
      </w:r>
      <w:r>
        <w:t xml:space="preserve">discussions should only be undertaken with </w:t>
      </w:r>
      <w:r w:rsidR="00B21E3B">
        <w:t>the ‘collaborate’ stakeholders</w:t>
      </w:r>
      <w:r>
        <w:t>. The ‘collaborate’ stak</w:t>
      </w:r>
      <w:r w:rsidR="00652A97">
        <w:t>e</w:t>
      </w:r>
      <w:r>
        <w:t>holders</w:t>
      </w:r>
      <w:r w:rsidR="00B21E3B">
        <w:t xml:space="preserve"> were limited to, in general, the key government agencies and </w:t>
      </w:r>
      <w:r>
        <w:t>one</w:t>
      </w:r>
      <w:r w:rsidR="00B21E3B">
        <w:t xml:space="preserve"> key organisation for each sector.</w:t>
      </w:r>
    </w:p>
    <w:p w14:paraId="111D0A92" w14:textId="77777777" w:rsidR="006D182D" w:rsidRDefault="00CE1416" w:rsidP="009E73FF">
      <w:pPr>
        <w:pStyle w:val="BodyText1"/>
      </w:pPr>
      <w:r>
        <w:t>All identified stakeholders were invited to complete the online survey. Of the 59 organisations, no contact details were available for the WA Ports Association (organisation is no longer active). Additionally, the ‘collaborate’ stakeholders identified other organisations for inclusion—Industry Pest Management Group (forestry), Pearl Producers Association and various ornamental fish bodies (Perth Cichlid Society, Koi Society of WA, Australian New Guinea Native Fish Association and Pet Shop Industry Association of WA).</w:t>
      </w:r>
      <w:r w:rsidR="006D182D">
        <w:t xml:space="preserve"> It was anticipated that the organisations would forward the survey details to their relevant staff, members and/or other interested parties.</w:t>
      </w:r>
    </w:p>
    <w:p w14:paraId="6E899B1D" w14:textId="77777777" w:rsidR="00A72F76" w:rsidRDefault="00A72F76" w:rsidP="00F97828">
      <w:pPr>
        <w:pStyle w:val="Heading2"/>
      </w:pPr>
      <w:bookmarkStart w:id="7" w:name="_Toc411452987"/>
      <w:r>
        <w:t>Phase 1 – stakeholder discussions</w:t>
      </w:r>
      <w:bookmarkEnd w:id="7"/>
    </w:p>
    <w:p w14:paraId="3010A378" w14:textId="77777777" w:rsidR="00B21E3B" w:rsidRDefault="00B21E3B" w:rsidP="00A86CFE">
      <w:pPr>
        <w:pStyle w:val="Heading3"/>
      </w:pPr>
      <w:bookmarkStart w:id="8" w:name="_Toc411452988"/>
      <w:r>
        <w:t>Data collection</w:t>
      </w:r>
      <w:bookmarkEnd w:id="8"/>
    </w:p>
    <w:p w14:paraId="095BF6DB" w14:textId="0804C903" w:rsidR="006D182D" w:rsidRDefault="006D182D" w:rsidP="009E73FF">
      <w:pPr>
        <w:pStyle w:val="BodyText1"/>
      </w:pPr>
      <w:r>
        <w:t xml:space="preserve">Stakeholders were notified of the Council’s interest in their participation in the process prior to </w:t>
      </w:r>
      <w:r w:rsidR="0096764A">
        <w:t>a formal invitation being sent</w:t>
      </w:r>
      <w:r>
        <w:t xml:space="preserve">. Of the </w:t>
      </w:r>
      <w:r w:rsidR="00AB11CC">
        <w:t>eleven</w:t>
      </w:r>
      <w:r>
        <w:t xml:space="preserve"> </w:t>
      </w:r>
      <w:r w:rsidR="00A72F76">
        <w:t>‘</w:t>
      </w:r>
      <w:proofErr w:type="gramStart"/>
      <w:r w:rsidR="00A72F76">
        <w:t>collaborate</w:t>
      </w:r>
      <w:proofErr w:type="gramEnd"/>
      <w:r w:rsidR="00A72F76">
        <w:t xml:space="preserve">’ </w:t>
      </w:r>
      <w:r>
        <w:t xml:space="preserve">stakeholders invited to participate, </w:t>
      </w:r>
      <w:r w:rsidR="00AB11CC">
        <w:t>ten</w:t>
      </w:r>
      <w:r>
        <w:t xml:space="preserve"> agreed to take part. No response was received from </w:t>
      </w:r>
      <w:r w:rsidR="00A72F76">
        <w:t xml:space="preserve">the </w:t>
      </w:r>
      <w:r>
        <w:t>Agriculture Produce Co</w:t>
      </w:r>
      <w:r w:rsidR="00A72F76">
        <w:t>mmission.</w:t>
      </w:r>
    </w:p>
    <w:p w14:paraId="2819F53E" w14:textId="4290D485" w:rsidR="00161427" w:rsidRDefault="00B21E3B" w:rsidP="009E73FF">
      <w:pPr>
        <w:pStyle w:val="BodyText1"/>
        <w:rPr>
          <w:rFonts w:cs="Arial"/>
          <w:szCs w:val="20"/>
        </w:rPr>
      </w:pPr>
      <w:r>
        <w:rPr>
          <w:rFonts w:cs="Arial"/>
          <w:szCs w:val="20"/>
        </w:rPr>
        <w:t xml:space="preserve">Face-to-face semi-structured discussions were conducted with </w:t>
      </w:r>
      <w:r w:rsidR="00AB11CC">
        <w:rPr>
          <w:rFonts w:cs="Arial"/>
          <w:szCs w:val="20"/>
        </w:rPr>
        <w:t>ten</w:t>
      </w:r>
      <w:r w:rsidR="00161427">
        <w:rPr>
          <w:rFonts w:cs="Arial"/>
          <w:szCs w:val="20"/>
        </w:rPr>
        <w:t xml:space="preserve"> ‘collaborate’ stakeholders </w:t>
      </w:r>
      <w:r w:rsidR="00854287">
        <w:rPr>
          <w:rFonts w:cs="Arial"/>
          <w:szCs w:val="20"/>
        </w:rPr>
        <w:t xml:space="preserve">(34 participants) </w:t>
      </w:r>
      <w:r w:rsidR="00161427">
        <w:rPr>
          <w:rFonts w:cs="Arial"/>
          <w:szCs w:val="20"/>
        </w:rPr>
        <w:t>and one ‘involve’ stakeholder (Pastoral Lands Board</w:t>
      </w:r>
      <w:r w:rsidR="00854287">
        <w:rPr>
          <w:rFonts w:cs="Arial"/>
          <w:szCs w:val="20"/>
        </w:rPr>
        <w:t xml:space="preserve"> – 9 participants</w:t>
      </w:r>
      <w:r w:rsidR="00161427">
        <w:rPr>
          <w:rFonts w:cs="Arial"/>
          <w:szCs w:val="20"/>
        </w:rPr>
        <w:t xml:space="preserve">). It was later decided that only ‘collaborate’ stakeholders would be involved in the face-to-face discussions, primarily owing to time constraints. </w:t>
      </w:r>
      <w:r w:rsidR="00732A55">
        <w:rPr>
          <w:rFonts w:cs="Arial"/>
          <w:szCs w:val="20"/>
        </w:rPr>
        <w:t>The participants are identified in Table 1.</w:t>
      </w:r>
    </w:p>
    <w:p w14:paraId="06E22285" w14:textId="77777777" w:rsidR="00B21E3B" w:rsidRDefault="00B21E3B" w:rsidP="009E73FF">
      <w:pPr>
        <w:pStyle w:val="BodyText1"/>
        <w:rPr>
          <w:rFonts w:cs="Arial"/>
          <w:szCs w:val="20"/>
        </w:rPr>
      </w:pPr>
      <w:r>
        <w:rPr>
          <w:rFonts w:cs="Arial"/>
          <w:szCs w:val="20"/>
        </w:rPr>
        <w:t>A discussion guide, which listed the questions to be explored during the course of each discussion, was used to ensure the same format and topics were covered w</w:t>
      </w:r>
      <w:r w:rsidR="0096764A">
        <w:rPr>
          <w:rFonts w:cs="Arial"/>
          <w:szCs w:val="20"/>
        </w:rPr>
        <w:t>ith each stakeholder (Appendix 1</w:t>
      </w:r>
      <w:r>
        <w:rPr>
          <w:rFonts w:cs="Arial"/>
          <w:szCs w:val="20"/>
        </w:rPr>
        <w:t>)</w:t>
      </w:r>
      <w:r w:rsidR="009C3D75">
        <w:rPr>
          <w:rFonts w:cs="Arial"/>
          <w:szCs w:val="20"/>
        </w:rPr>
        <w:t xml:space="preserve">. Pilot discussions were conducted in February 2014, and the remaining discussions took place during </w:t>
      </w:r>
      <w:r w:rsidR="00161427">
        <w:rPr>
          <w:rFonts w:cs="Arial"/>
          <w:szCs w:val="20"/>
        </w:rPr>
        <w:t>April</w:t>
      </w:r>
      <w:r w:rsidR="009C3D75">
        <w:rPr>
          <w:rFonts w:cs="Arial"/>
          <w:szCs w:val="20"/>
        </w:rPr>
        <w:t xml:space="preserve"> – May 2014. All discussions were digitally recorded</w:t>
      </w:r>
      <w:r w:rsidR="00732A55">
        <w:rPr>
          <w:rFonts w:cs="Arial"/>
          <w:szCs w:val="20"/>
        </w:rPr>
        <w:t>, with the exception of the discussion with the Pastoral Lands Board</w:t>
      </w:r>
      <w:r w:rsidR="009C3D75">
        <w:rPr>
          <w:rFonts w:cs="Arial"/>
          <w:szCs w:val="20"/>
        </w:rPr>
        <w:t xml:space="preserve">. </w:t>
      </w:r>
    </w:p>
    <w:p w14:paraId="2C52F75F" w14:textId="77777777" w:rsidR="00732A55" w:rsidRDefault="00732A55" w:rsidP="009E73FF">
      <w:pPr>
        <w:pStyle w:val="BodyText1"/>
        <w:rPr>
          <w:rFonts w:cs="Arial"/>
          <w:szCs w:val="20"/>
        </w:rPr>
      </w:pPr>
      <w:r>
        <w:rPr>
          <w:rFonts w:cs="Arial"/>
          <w:szCs w:val="20"/>
        </w:rPr>
        <w:t>All stakeholders were sent copies of the transcripts and invited to supply comments, changes or additional information.</w:t>
      </w:r>
    </w:p>
    <w:p w14:paraId="05E8D40D" w14:textId="77777777" w:rsidR="000F7803" w:rsidRDefault="000F7803" w:rsidP="009E73FF">
      <w:pPr>
        <w:pStyle w:val="BodyText1"/>
      </w:pPr>
    </w:p>
    <w:p w14:paraId="19652703" w14:textId="77777777" w:rsidR="00195214" w:rsidRDefault="00B21E3B" w:rsidP="00195214">
      <w:pPr>
        <w:spacing w:line="240" w:lineRule="auto"/>
        <w:rPr>
          <w:b/>
        </w:rPr>
      </w:pPr>
      <w:r>
        <w:br w:type="page"/>
      </w:r>
    </w:p>
    <w:p w14:paraId="501BB6B6" w14:textId="5896706F" w:rsidR="00B21E3B" w:rsidRDefault="00195214" w:rsidP="00195214">
      <w:pPr>
        <w:spacing w:line="240" w:lineRule="auto"/>
        <w:rPr>
          <w:b/>
        </w:rPr>
      </w:pPr>
      <w:proofErr w:type="gramStart"/>
      <w:r w:rsidRPr="00A86CFE">
        <w:rPr>
          <w:b/>
        </w:rPr>
        <w:lastRenderedPageBreak/>
        <w:t>Figure 1.</w:t>
      </w:r>
      <w:proofErr w:type="gramEnd"/>
      <w:r w:rsidRPr="00A86CFE">
        <w:rPr>
          <w:b/>
        </w:rPr>
        <w:t xml:space="preserve"> Stakeholder mapping to identify the level of engagement</w:t>
      </w:r>
    </w:p>
    <w:p w14:paraId="1E644411" w14:textId="77777777" w:rsidR="00195214" w:rsidRDefault="00195214" w:rsidP="00195214">
      <w:pPr>
        <w:spacing w:line="240" w:lineRule="auto"/>
      </w:pPr>
    </w:p>
    <w:tbl>
      <w:tblPr>
        <w:tblStyle w:val="TableGrid"/>
        <w:tblW w:w="4320" w:type="pct"/>
        <w:tblLook w:val="04A0" w:firstRow="1" w:lastRow="0" w:firstColumn="1" w:lastColumn="0" w:noHBand="0" w:noVBand="1"/>
        <w:tblDescription w:val="Map of stakeholders level of engagement"/>
      </w:tblPr>
      <w:tblGrid>
        <w:gridCol w:w="5109"/>
        <w:gridCol w:w="2877"/>
      </w:tblGrid>
      <w:tr w:rsidR="00195214" w:rsidRPr="0066303F" w14:paraId="6E821AF8" w14:textId="77777777" w:rsidTr="00195214">
        <w:trPr>
          <w:cantSplit/>
        </w:trPr>
        <w:tc>
          <w:tcPr>
            <w:tcW w:w="3199" w:type="pct"/>
            <w:tcBorders>
              <w:left w:val="single" w:sz="4" w:space="0" w:color="auto"/>
            </w:tcBorders>
            <w:vAlign w:val="center"/>
          </w:tcPr>
          <w:p w14:paraId="3174AEC0" w14:textId="797D9B7E" w:rsidR="00195214" w:rsidRPr="004D4F62" w:rsidRDefault="00195214" w:rsidP="004D4F62">
            <w:pPr>
              <w:ind w:left="360"/>
              <w:rPr>
                <w:sz w:val="21"/>
                <w:szCs w:val="21"/>
              </w:rPr>
            </w:pPr>
            <w:r w:rsidRPr="004D4F62">
              <w:rPr>
                <w:sz w:val="21"/>
                <w:szCs w:val="21"/>
              </w:rPr>
              <w:t>INVOLVE</w:t>
            </w:r>
          </w:p>
        </w:tc>
        <w:tc>
          <w:tcPr>
            <w:tcW w:w="1801" w:type="pct"/>
            <w:vAlign w:val="center"/>
          </w:tcPr>
          <w:p w14:paraId="6460BEBC" w14:textId="77777777" w:rsidR="00195214" w:rsidRPr="004D4F62" w:rsidRDefault="00195214" w:rsidP="004D4F62">
            <w:pPr>
              <w:ind w:left="360"/>
              <w:rPr>
                <w:sz w:val="21"/>
                <w:szCs w:val="21"/>
              </w:rPr>
            </w:pPr>
            <w:r w:rsidRPr="004D4F62">
              <w:rPr>
                <w:sz w:val="21"/>
                <w:szCs w:val="21"/>
              </w:rPr>
              <w:t>COLLABORATE</w:t>
            </w:r>
          </w:p>
        </w:tc>
      </w:tr>
      <w:tr w:rsidR="00195214" w:rsidRPr="0066303F" w14:paraId="22FC0106" w14:textId="77777777" w:rsidTr="00195214">
        <w:trPr>
          <w:cantSplit/>
          <w:trHeight w:val="1134"/>
        </w:trPr>
        <w:tc>
          <w:tcPr>
            <w:tcW w:w="3199" w:type="pct"/>
          </w:tcPr>
          <w:p w14:paraId="2478D1B5" w14:textId="7382EC6D" w:rsidR="00195214" w:rsidRPr="0066303F" w:rsidRDefault="00195214" w:rsidP="00E36846">
            <w:pPr>
              <w:pStyle w:val="ListParagraph"/>
              <w:numPr>
                <w:ilvl w:val="0"/>
                <w:numId w:val="7"/>
              </w:numPr>
              <w:rPr>
                <w:sz w:val="21"/>
                <w:szCs w:val="21"/>
              </w:rPr>
            </w:pPr>
            <w:r w:rsidRPr="0066303F">
              <w:rPr>
                <w:sz w:val="21"/>
                <w:szCs w:val="21"/>
              </w:rPr>
              <w:t>WALGA</w:t>
            </w:r>
          </w:p>
          <w:p w14:paraId="4A11D86E" w14:textId="77777777" w:rsidR="00195214" w:rsidRPr="0066303F" w:rsidRDefault="00195214" w:rsidP="00E36846">
            <w:pPr>
              <w:pStyle w:val="ListParagraph"/>
              <w:numPr>
                <w:ilvl w:val="0"/>
                <w:numId w:val="7"/>
              </w:numPr>
              <w:rPr>
                <w:sz w:val="21"/>
                <w:szCs w:val="21"/>
              </w:rPr>
            </w:pPr>
            <w:r w:rsidRPr="0066303F">
              <w:rPr>
                <w:sz w:val="21"/>
                <w:szCs w:val="21"/>
              </w:rPr>
              <w:t>NRM Councils</w:t>
            </w:r>
          </w:p>
          <w:p w14:paraId="29A8DF56" w14:textId="77777777" w:rsidR="00195214" w:rsidRPr="0066303F" w:rsidRDefault="00195214" w:rsidP="00E36846">
            <w:pPr>
              <w:pStyle w:val="ListParagraph"/>
              <w:numPr>
                <w:ilvl w:val="0"/>
                <w:numId w:val="7"/>
              </w:numPr>
              <w:rPr>
                <w:sz w:val="21"/>
                <w:szCs w:val="21"/>
              </w:rPr>
            </w:pPr>
            <w:r w:rsidRPr="0066303F">
              <w:rPr>
                <w:sz w:val="21"/>
                <w:szCs w:val="21"/>
              </w:rPr>
              <w:t>PGA</w:t>
            </w:r>
          </w:p>
          <w:p w14:paraId="4E8CA4E2" w14:textId="77777777" w:rsidR="00195214" w:rsidRPr="0066303F" w:rsidRDefault="00195214" w:rsidP="00E36846">
            <w:pPr>
              <w:pStyle w:val="ListParagraph"/>
              <w:numPr>
                <w:ilvl w:val="0"/>
                <w:numId w:val="7"/>
              </w:numPr>
              <w:rPr>
                <w:sz w:val="21"/>
                <w:szCs w:val="21"/>
              </w:rPr>
            </w:pPr>
            <w:proofErr w:type="spellStart"/>
            <w:r w:rsidRPr="0066303F">
              <w:rPr>
                <w:sz w:val="21"/>
                <w:szCs w:val="21"/>
              </w:rPr>
              <w:t>WAFarmers</w:t>
            </w:r>
            <w:proofErr w:type="spellEnd"/>
          </w:p>
          <w:p w14:paraId="049E4640" w14:textId="77777777" w:rsidR="00195214" w:rsidRPr="0066303F" w:rsidRDefault="00195214" w:rsidP="00E36846">
            <w:pPr>
              <w:pStyle w:val="ListParagraph"/>
              <w:numPr>
                <w:ilvl w:val="0"/>
                <w:numId w:val="7"/>
              </w:numPr>
              <w:rPr>
                <w:sz w:val="21"/>
                <w:szCs w:val="21"/>
              </w:rPr>
            </w:pPr>
            <w:proofErr w:type="spellStart"/>
            <w:r w:rsidRPr="0066303F">
              <w:rPr>
                <w:sz w:val="21"/>
                <w:szCs w:val="21"/>
              </w:rPr>
              <w:t>vegetablesWA</w:t>
            </w:r>
            <w:proofErr w:type="spellEnd"/>
          </w:p>
          <w:p w14:paraId="46F9B80D" w14:textId="77777777" w:rsidR="00195214" w:rsidRPr="0066303F" w:rsidRDefault="00195214" w:rsidP="00E36846">
            <w:pPr>
              <w:pStyle w:val="ListParagraph"/>
              <w:numPr>
                <w:ilvl w:val="0"/>
                <w:numId w:val="6"/>
              </w:numPr>
              <w:rPr>
                <w:rFonts w:eastAsia="Times New Roman"/>
                <w:sz w:val="21"/>
                <w:szCs w:val="21"/>
                <w:lang w:eastAsia="en-AU"/>
              </w:rPr>
            </w:pPr>
            <w:r w:rsidRPr="0066303F">
              <w:rPr>
                <w:sz w:val="21"/>
                <w:szCs w:val="21"/>
              </w:rPr>
              <w:t>Environmental Protection Authority</w:t>
            </w:r>
          </w:p>
          <w:p w14:paraId="7516AA67" w14:textId="77777777" w:rsidR="00195214" w:rsidRPr="0066303F" w:rsidRDefault="00195214" w:rsidP="00E36846">
            <w:pPr>
              <w:pStyle w:val="ListParagraph"/>
              <w:numPr>
                <w:ilvl w:val="0"/>
                <w:numId w:val="6"/>
              </w:numPr>
              <w:rPr>
                <w:sz w:val="21"/>
                <w:szCs w:val="21"/>
                <w:lang w:eastAsia="en-AU"/>
              </w:rPr>
            </w:pPr>
            <w:r w:rsidRPr="0066303F">
              <w:rPr>
                <w:sz w:val="21"/>
                <w:szCs w:val="21"/>
                <w:lang w:eastAsia="en-AU"/>
              </w:rPr>
              <w:t>Nursery and Garden Industry WA</w:t>
            </w:r>
          </w:p>
          <w:p w14:paraId="01942FE7" w14:textId="77777777" w:rsidR="00195214" w:rsidRPr="0066303F" w:rsidRDefault="00195214" w:rsidP="00E36846">
            <w:pPr>
              <w:pStyle w:val="ListParagraph"/>
              <w:numPr>
                <w:ilvl w:val="0"/>
                <w:numId w:val="6"/>
              </w:numPr>
              <w:rPr>
                <w:sz w:val="21"/>
                <w:szCs w:val="21"/>
                <w:lang w:eastAsia="en-AU"/>
              </w:rPr>
            </w:pPr>
            <w:r w:rsidRPr="0066303F">
              <w:rPr>
                <w:sz w:val="21"/>
                <w:szCs w:val="21"/>
                <w:lang w:eastAsia="en-AU"/>
              </w:rPr>
              <w:t>WA Conservation Council</w:t>
            </w:r>
          </w:p>
          <w:p w14:paraId="2CFE5569" w14:textId="77777777" w:rsidR="00195214" w:rsidRPr="0066303F" w:rsidRDefault="00195214" w:rsidP="00E36846">
            <w:pPr>
              <w:pStyle w:val="ListParagraph"/>
              <w:numPr>
                <w:ilvl w:val="0"/>
                <w:numId w:val="6"/>
              </w:numPr>
              <w:rPr>
                <w:sz w:val="21"/>
                <w:szCs w:val="21"/>
                <w:lang w:eastAsia="en-AU"/>
              </w:rPr>
            </w:pPr>
            <w:r w:rsidRPr="0066303F">
              <w:rPr>
                <w:sz w:val="21"/>
                <w:szCs w:val="21"/>
                <w:lang w:eastAsia="en-AU"/>
              </w:rPr>
              <w:t>Marine Parks &amp; Reserves Authority</w:t>
            </w:r>
          </w:p>
          <w:p w14:paraId="341F623B" w14:textId="77777777" w:rsidR="00195214" w:rsidRPr="0066303F" w:rsidRDefault="00195214" w:rsidP="00E36846">
            <w:pPr>
              <w:pStyle w:val="ListParagraph"/>
              <w:numPr>
                <w:ilvl w:val="0"/>
                <w:numId w:val="6"/>
              </w:numPr>
              <w:rPr>
                <w:sz w:val="21"/>
                <w:szCs w:val="21"/>
                <w:lang w:eastAsia="en-AU"/>
              </w:rPr>
            </w:pPr>
            <w:r w:rsidRPr="0066303F">
              <w:rPr>
                <w:sz w:val="21"/>
                <w:szCs w:val="21"/>
                <w:lang w:eastAsia="en-AU"/>
              </w:rPr>
              <w:t>Pastoral Lands Board</w:t>
            </w:r>
          </w:p>
          <w:p w14:paraId="3308428B" w14:textId="77777777" w:rsidR="00195214" w:rsidRPr="0066303F" w:rsidRDefault="00195214" w:rsidP="00E36846">
            <w:pPr>
              <w:pStyle w:val="ListParagraph"/>
              <w:numPr>
                <w:ilvl w:val="0"/>
                <w:numId w:val="6"/>
              </w:numPr>
              <w:rPr>
                <w:rFonts w:eastAsia="Times New Roman"/>
                <w:sz w:val="21"/>
                <w:szCs w:val="21"/>
                <w:lang w:eastAsia="en-AU"/>
              </w:rPr>
            </w:pPr>
            <w:r w:rsidRPr="0066303F">
              <w:rPr>
                <w:sz w:val="21"/>
                <w:szCs w:val="21"/>
              </w:rPr>
              <w:t>RBGs</w:t>
            </w:r>
          </w:p>
          <w:p w14:paraId="5EEDAD2B" w14:textId="77777777" w:rsidR="00195214" w:rsidRPr="0066303F" w:rsidRDefault="00195214" w:rsidP="00E36846">
            <w:pPr>
              <w:pStyle w:val="ListParagraph"/>
              <w:numPr>
                <w:ilvl w:val="0"/>
                <w:numId w:val="6"/>
              </w:numPr>
              <w:rPr>
                <w:rFonts w:eastAsia="Times New Roman"/>
                <w:sz w:val="21"/>
                <w:szCs w:val="21"/>
                <w:lang w:eastAsia="en-AU"/>
              </w:rPr>
            </w:pPr>
            <w:r w:rsidRPr="0066303F">
              <w:rPr>
                <w:sz w:val="21"/>
                <w:szCs w:val="21"/>
              </w:rPr>
              <w:t>DPC Office of Science</w:t>
            </w:r>
          </w:p>
          <w:p w14:paraId="5F192492" w14:textId="77777777" w:rsidR="00195214" w:rsidRPr="0066303F" w:rsidRDefault="00195214" w:rsidP="00E36846">
            <w:pPr>
              <w:pStyle w:val="ListParagraph"/>
              <w:numPr>
                <w:ilvl w:val="0"/>
                <w:numId w:val="6"/>
              </w:numPr>
              <w:rPr>
                <w:sz w:val="21"/>
                <w:szCs w:val="21"/>
              </w:rPr>
            </w:pPr>
            <w:r w:rsidRPr="0066303F">
              <w:rPr>
                <w:sz w:val="21"/>
                <w:szCs w:val="21"/>
              </w:rPr>
              <w:t>Australian Petroleum Production and Exploration Association</w:t>
            </w:r>
          </w:p>
          <w:p w14:paraId="629CE461" w14:textId="77777777" w:rsidR="00195214" w:rsidRPr="0066303F" w:rsidRDefault="00195214" w:rsidP="00E36846">
            <w:pPr>
              <w:pStyle w:val="ListParagraph"/>
              <w:numPr>
                <w:ilvl w:val="0"/>
                <w:numId w:val="6"/>
              </w:numPr>
              <w:rPr>
                <w:sz w:val="21"/>
                <w:szCs w:val="21"/>
                <w:lang w:eastAsia="en-AU"/>
              </w:rPr>
            </w:pPr>
            <w:r w:rsidRPr="0066303F">
              <w:rPr>
                <w:sz w:val="21"/>
                <w:szCs w:val="21"/>
                <w:lang w:eastAsia="en-AU"/>
              </w:rPr>
              <w:t>Aquaculture Council of WA</w:t>
            </w:r>
          </w:p>
          <w:p w14:paraId="37F25A4B" w14:textId="77777777" w:rsidR="00195214" w:rsidRPr="0066303F" w:rsidRDefault="00195214" w:rsidP="00E36846">
            <w:pPr>
              <w:pStyle w:val="ListParagraph"/>
              <w:numPr>
                <w:ilvl w:val="0"/>
                <w:numId w:val="6"/>
              </w:numPr>
              <w:rPr>
                <w:sz w:val="21"/>
                <w:szCs w:val="21"/>
                <w:lang w:eastAsia="en-AU"/>
              </w:rPr>
            </w:pPr>
            <w:r w:rsidRPr="0066303F">
              <w:rPr>
                <w:sz w:val="21"/>
                <w:szCs w:val="21"/>
                <w:lang w:eastAsia="en-AU"/>
              </w:rPr>
              <w:t>WA Ports Association</w:t>
            </w:r>
          </w:p>
        </w:tc>
        <w:tc>
          <w:tcPr>
            <w:tcW w:w="1801" w:type="pct"/>
          </w:tcPr>
          <w:p w14:paraId="677ECF27" w14:textId="77777777" w:rsidR="00195214" w:rsidRPr="0066303F" w:rsidRDefault="00195214" w:rsidP="00E36846">
            <w:pPr>
              <w:pStyle w:val="ListParagraph"/>
              <w:numPr>
                <w:ilvl w:val="0"/>
                <w:numId w:val="5"/>
              </w:numPr>
              <w:rPr>
                <w:sz w:val="21"/>
                <w:szCs w:val="21"/>
              </w:rPr>
            </w:pPr>
            <w:r w:rsidRPr="0066303F">
              <w:rPr>
                <w:sz w:val="21"/>
                <w:szCs w:val="21"/>
              </w:rPr>
              <w:t>Department of Fisheries</w:t>
            </w:r>
          </w:p>
          <w:p w14:paraId="06DDF831" w14:textId="77777777" w:rsidR="00195214" w:rsidRPr="0066303F" w:rsidRDefault="00195214" w:rsidP="00E36846">
            <w:pPr>
              <w:pStyle w:val="ListParagraph"/>
              <w:numPr>
                <w:ilvl w:val="0"/>
                <w:numId w:val="5"/>
              </w:numPr>
              <w:rPr>
                <w:sz w:val="21"/>
                <w:szCs w:val="21"/>
              </w:rPr>
            </w:pPr>
            <w:r w:rsidRPr="0066303F">
              <w:rPr>
                <w:sz w:val="21"/>
                <w:szCs w:val="21"/>
              </w:rPr>
              <w:t>Forest Products Commission</w:t>
            </w:r>
          </w:p>
          <w:p w14:paraId="0C872E4B" w14:textId="77777777" w:rsidR="00195214" w:rsidRPr="0066303F" w:rsidRDefault="00195214" w:rsidP="00E36846">
            <w:pPr>
              <w:pStyle w:val="ListParagraph"/>
              <w:numPr>
                <w:ilvl w:val="0"/>
                <w:numId w:val="5"/>
              </w:numPr>
              <w:rPr>
                <w:sz w:val="21"/>
                <w:szCs w:val="21"/>
              </w:rPr>
            </w:pPr>
            <w:r w:rsidRPr="0066303F">
              <w:rPr>
                <w:sz w:val="21"/>
                <w:szCs w:val="21"/>
              </w:rPr>
              <w:t>DAFWA</w:t>
            </w:r>
          </w:p>
          <w:p w14:paraId="3907B974" w14:textId="77777777" w:rsidR="00195214" w:rsidRPr="0066303F" w:rsidRDefault="00195214" w:rsidP="00E36846">
            <w:pPr>
              <w:pStyle w:val="ListParagraph"/>
              <w:numPr>
                <w:ilvl w:val="0"/>
                <w:numId w:val="5"/>
              </w:numPr>
              <w:rPr>
                <w:sz w:val="21"/>
                <w:szCs w:val="21"/>
              </w:rPr>
            </w:pPr>
            <w:r w:rsidRPr="0066303F">
              <w:rPr>
                <w:sz w:val="21"/>
                <w:szCs w:val="21"/>
              </w:rPr>
              <w:t xml:space="preserve">Department Parks and Wildlife </w:t>
            </w:r>
          </w:p>
          <w:p w14:paraId="7862788B" w14:textId="77777777" w:rsidR="00195214" w:rsidRPr="0066303F" w:rsidRDefault="00195214" w:rsidP="00E36846">
            <w:pPr>
              <w:pStyle w:val="ListParagraph"/>
              <w:numPr>
                <w:ilvl w:val="0"/>
                <w:numId w:val="5"/>
              </w:numPr>
              <w:rPr>
                <w:sz w:val="21"/>
                <w:szCs w:val="21"/>
              </w:rPr>
            </w:pPr>
            <w:r w:rsidRPr="0066303F">
              <w:rPr>
                <w:sz w:val="21"/>
                <w:szCs w:val="21"/>
              </w:rPr>
              <w:t>Department of Premier and Cabinet</w:t>
            </w:r>
          </w:p>
          <w:p w14:paraId="74B771CA" w14:textId="77777777" w:rsidR="00195214" w:rsidRPr="0066303F" w:rsidRDefault="00195214" w:rsidP="00E36846">
            <w:pPr>
              <w:pStyle w:val="ListParagraph"/>
              <w:numPr>
                <w:ilvl w:val="0"/>
                <w:numId w:val="5"/>
              </w:numPr>
              <w:rPr>
                <w:sz w:val="21"/>
                <w:szCs w:val="21"/>
              </w:rPr>
            </w:pPr>
            <w:r w:rsidRPr="0066303F">
              <w:rPr>
                <w:sz w:val="21"/>
                <w:szCs w:val="21"/>
              </w:rPr>
              <w:t>Industry Funding Scheme committees</w:t>
            </w:r>
          </w:p>
          <w:p w14:paraId="3C9557FB" w14:textId="77777777" w:rsidR="00195214" w:rsidRPr="0066303F" w:rsidRDefault="00195214" w:rsidP="00E36846">
            <w:pPr>
              <w:pStyle w:val="ListParagraph"/>
              <w:numPr>
                <w:ilvl w:val="0"/>
                <w:numId w:val="5"/>
              </w:numPr>
              <w:rPr>
                <w:sz w:val="21"/>
                <w:szCs w:val="21"/>
              </w:rPr>
            </w:pPr>
            <w:r w:rsidRPr="0066303F">
              <w:rPr>
                <w:sz w:val="21"/>
                <w:szCs w:val="21"/>
              </w:rPr>
              <w:t>Agricultural Produce Commission</w:t>
            </w:r>
          </w:p>
          <w:p w14:paraId="485D0CED" w14:textId="77777777" w:rsidR="00195214" w:rsidRPr="0066303F" w:rsidRDefault="00195214" w:rsidP="00E36846">
            <w:pPr>
              <w:pStyle w:val="ListParagraph"/>
              <w:numPr>
                <w:ilvl w:val="0"/>
                <w:numId w:val="5"/>
              </w:numPr>
              <w:rPr>
                <w:rStyle w:val="CommentReference"/>
                <w:sz w:val="21"/>
                <w:szCs w:val="21"/>
              </w:rPr>
            </w:pPr>
            <w:r w:rsidRPr="0066303F">
              <w:rPr>
                <w:sz w:val="21"/>
                <w:szCs w:val="21"/>
              </w:rPr>
              <w:t>Forest Industries Federation</w:t>
            </w:r>
          </w:p>
          <w:p w14:paraId="34C5CAA6" w14:textId="77777777" w:rsidR="00195214" w:rsidRPr="0066303F" w:rsidRDefault="00195214" w:rsidP="00E36846">
            <w:pPr>
              <w:pStyle w:val="ListParagraph"/>
              <w:numPr>
                <w:ilvl w:val="0"/>
                <w:numId w:val="5"/>
              </w:numPr>
              <w:rPr>
                <w:sz w:val="21"/>
                <w:szCs w:val="21"/>
              </w:rPr>
            </w:pPr>
            <w:r w:rsidRPr="0066303F">
              <w:rPr>
                <w:sz w:val="21"/>
                <w:szCs w:val="21"/>
              </w:rPr>
              <w:t>World Wildlife Fund (WA)</w:t>
            </w:r>
          </w:p>
        </w:tc>
      </w:tr>
      <w:tr w:rsidR="00195214" w:rsidRPr="0066303F" w14:paraId="4F29A054" w14:textId="77777777" w:rsidTr="00195214">
        <w:trPr>
          <w:cantSplit/>
          <w:trHeight w:val="317"/>
        </w:trPr>
        <w:tc>
          <w:tcPr>
            <w:tcW w:w="3199" w:type="pct"/>
            <w:vAlign w:val="center"/>
          </w:tcPr>
          <w:p w14:paraId="37973A81" w14:textId="3C3F6564" w:rsidR="00195214" w:rsidRPr="004D4F62" w:rsidRDefault="00195214" w:rsidP="004D4F62">
            <w:pPr>
              <w:ind w:left="360"/>
              <w:rPr>
                <w:sz w:val="21"/>
                <w:szCs w:val="21"/>
              </w:rPr>
            </w:pPr>
            <w:r w:rsidRPr="004D4F62">
              <w:rPr>
                <w:sz w:val="21"/>
                <w:szCs w:val="21"/>
              </w:rPr>
              <w:t>CONSULT</w:t>
            </w:r>
          </w:p>
        </w:tc>
        <w:tc>
          <w:tcPr>
            <w:tcW w:w="1801" w:type="pct"/>
            <w:vAlign w:val="center"/>
          </w:tcPr>
          <w:p w14:paraId="3FAC46EC" w14:textId="77777777" w:rsidR="00195214" w:rsidRPr="004D4F62" w:rsidRDefault="00195214" w:rsidP="004D4F62">
            <w:pPr>
              <w:ind w:left="360"/>
              <w:rPr>
                <w:sz w:val="21"/>
                <w:szCs w:val="21"/>
              </w:rPr>
            </w:pPr>
            <w:r w:rsidRPr="004D4F62">
              <w:rPr>
                <w:sz w:val="21"/>
                <w:szCs w:val="21"/>
              </w:rPr>
              <w:t>INFORM</w:t>
            </w:r>
          </w:p>
        </w:tc>
      </w:tr>
      <w:tr w:rsidR="00195214" w:rsidRPr="0066303F" w14:paraId="7ABB2438" w14:textId="77777777" w:rsidTr="00195214">
        <w:trPr>
          <w:cantSplit/>
          <w:trHeight w:val="1134"/>
        </w:trPr>
        <w:tc>
          <w:tcPr>
            <w:tcW w:w="3199" w:type="pct"/>
          </w:tcPr>
          <w:p w14:paraId="7D311FF1" w14:textId="0CA475C0" w:rsidR="00195214" w:rsidRPr="0066303F" w:rsidRDefault="00195214" w:rsidP="00E36846">
            <w:pPr>
              <w:pStyle w:val="ListParagraph"/>
              <w:numPr>
                <w:ilvl w:val="0"/>
                <w:numId w:val="6"/>
              </w:numPr>
              <w:rPr>
                <w:sz w:val="21"/>
                <w:szCs w:val="21"/>
              </w:rPr>
            </w:pPr>
            <w:r w:rsidRPr="0066303F">
              <w:rPr>
                <w:sz w:val="21"/>
                <w:szCs w:val="21"/>
              </w:rPr>
              <w:t>WA Fisheries Industry Council</w:t>
            </w:r>
          </w:p>
          <w:p w14:paraId="60A36147" w14:textId="77777777" w:rsidR="00195214" w:rsidRPr="0066303F" w:rsidRDefault="00195214" w:rsidP="00E36846">
            <w:pPr>
              <w:pStyle w:val="ListParagraph"/>
              <w:numPr>
                <w:ilvl w:val="0"/>
                <w:numId w:val="6"/>
              </w:numPr>
              <w:rPr>
                <w:sz w:val="21"/>
                <w:szCs w:val="21"/>
                <w:lang w:eastAsia="en-AU"/>
              </w:rPr>
            </w:pPr>
            <w:proofErr w:type="spellStart"/>
            <w:r w:rsidRPr="0066303F">
              <w:rPr>
                <w:sz w:val="21"/>
                <w:szCs w:val="21"/>
                <w:lang w:eastAsia="en-AU"/>
              </w:rPr>
              <w:t>RecFishWest</w:t>
            </w:r>
            <w:proofErr w:type="spellEnd"/>
          </w:p>
          <w:p w14:paraId="76D7BD07" w14:textId="77777777" w:rsidR="00195214" w:rsidRPr="0066303F" w:rsidRDefault="00195214" w:rsidP="00E36846">
            <w:pPr>
              <w:pStyle w:val="ListParagraph"/>
              <w:numPr>
                <w:ilvl w:val="0"/>
                <w:numId w:val="7"/>
              </w:numPr>
              <w:rPr>
                <w:sz w:val="21"/>
                <w:szCs w:val="21"/>
              </w:rPr>
            </w:pPr>
            <w:r w:rsidRPr="0066303F">
              <w:rPr>
                <w:sz w:val="21"/>
                <w:szCs w:val="21"/>
              </w:rPr>
              <w:t>WA Horse Council</w:t>
            </w:r>
          </w:p>
          <w:p w14:paraId="4D7BA662" w14:textId="77777777" w:rsidR="00195214" w:rsidRPr="0066303F" w:rsidRDefault="00195214" w:rsidP="00E36846">
            <w:pPr>
              <w:pStyle w:val="ListParagraph"/>
              <w:numPr>
                <w:ilvl w:val="0"/>
                <w:numId w:val="6"/>
              </w:numPr>
              <w:rPr>
                <w:sz w:val="21"/>
                <w:szCs w:val="21"/>
                <w:lang w:eastAsia="en-AU"/>
              </w:rPr>
            </w:pPr>
            <w:r w:rsidRPr="0066303F">
              <w:rPr>
                <w:sz w:val="21"/>
                <w:szCs w:val="21"/>
                <w:lang w:eastAsia="en-AU"/>
              </w:rPr>
              <w:t>Wines of WA</w:t>
            </w:r>
          </w:p>
          <w:p w14:paraId="1BAAECB9" w14:textId="77777777" w:rsidR="00195214" w:rsidRPr="0066303F" w:rsidRDefault="00195214" w:rsidP="00E36846">
            <w:pPr>
              <w:pStyle w:val="ListParagraph"/>
              <w:numPr>
                <w:ilvl w:val="0"/>
                <w:numId w:val="5"/>
              </w:numPr>
              <w:rPr>
                <w:sz w:val="21"/>
                <w:szCs w:val="21"/>
              </w:rPr>
            </w:pPr>
            <w:r w:rsidRPr="0066303F">
              <w:rPr>
                <w:sz w:val="21"/>
                <w:szCs w:val="21"/>
                <w:lang w:eastAsia="en-AU"/>
              </w:rPr>
              <w:t>APC Committees (avocado, banana, bee, carrot, egg, pork, potato, fruit west, strawberry, table grape, turf, vegetable)</w:t>
            </w:r>
          </w:p>
          <w:p w14:paraId="074836FF" w14:textId="77777777" w:rsidR="00195214" w:rsidRPr="0066303F" w:rsidRDefault="00195214" w:rsidP="00E36846">
            <w:pPr>
              <w:pStyle w:val="ListParagraph"/>
              <w:numPr>
                <w:ilvl w:val="0"/>
                <w:numId w:val="5"/>
              </w:numPr>
              <w:rPr>
                <w:sz w:val="21"/>
                <w:szCs w:val="21"/>
              </w:rPr>
            </w:pPr>
            <w:r w:rsidRPr="0066303F">
              <w:rPr>
                <w:sz w:val="21"/>
                <w:szCs w:val="21"/>
              </w:rPr>
              <w:t>Australian Forest Products Association</w:t>
            </w:r>
          </w:p>
          <w:p w14:paraId="78729A8B" w14:textId="77777777" w:rsidR="00195214" w:rsidRPr="0066303F" w:rsidRDefault="00195214" w:rsidP="00E36846">
            <w:pPr>
              <w:pStyle w:val="ListParagraph"/>
              <w:numPr>
                <w:ilvl w:val="0"/>
                <w:numId w:val="5"/>
              </w:numPr>
              <w:rPr>
                <w:sz w:val="21"/>
                <w:szCs w:val="21"/>
              </w:rPr>
            </w:pPr>
            <w:r w:rsidRPr="0066303F">
              <w:rPr>
                <w:sz w:val="21"/>
                <w:szCs w:val="21"/>
                <w:lang w:eastAsia="en-AU"/>
              </w:rPr>
              <w:t>Sheep Industry Leadership Council</w:t>
            </w:r>
            <w:r w:rsidRPr="0066303F">
              <w:rPr>
                <w:sz w:val="21"/>
                <w:szCs w:val="21"/>
              </w:rPr>
              <w:t xml:space="preserve"> </w:t>
            </w:r>
          </w:p>
          <w:p w14:paraId="5F9FB264" w14:textId="77777777" w:rsidR="00195214" w:rsidRPr="0066303F" w:rsidRDefault="00195214" w:rsidP="00E36846">
            <w:pPr>
              <w:pStyle w:val="ListParagraph"/>
              <w:numPr>
                <w:ilvl w:val="0"/>
                <w:numId w:val="7"/>
              </w:numPr>
              <w:rPr>
                <w:sz w:val="21"/>
                <w:szCs w:val="21"/>
              </w:rPr>
            </w:pPr>
            <w:r w:rsidRPr="0066303F">
              <w:rPr>
                <w:sz w:val="21"/>
                <w:szCs w:val="21"/>
              </w:rPr>
              <w:t>WA Beef Council</w:t>
            </w:r>
          </w:p>
          <w:p w14:paraId="0C8B95C0" w14:textId="77777777" w:rsidR="00195214" w:rsidRPr="0066303F" w:rsidRDefault="00195214" w:rsidP="00E36846">
            <w:pPr>
              <w:pStyle w:val="ListParagraph"/>
              <w:numPr>
                <w:ilvl w:val="0"/>
                <w:numId w:val="7"/>
              </w:numPr>
              <w:rPr>
                <w:sz w:val="21"/>
                <w:szCs w:val="21"/>
              </w:rPr>
            </w:pPr>
            <w:r w:rsidRPr="0066303F">
              <w:rPr>
                <w:sz w:val="21"/>
                <w:szCs w:val="21"/>
              </w:rPr>
              <w:t>Western Dairy</w:t>
            </w:r>
          </w:p>
          <w:p w14:paraId="61FC9E0C" w14:textId="77777777" w:rsidR="00195214" w:rsidRPr="0066303F" w:rsidRDefault="00195214" w:rsidP="00E36846">
            <w:pPr>
              <w:pStyle w:val="ListParagraph"/>
              <w:numPr>
                <w:ilvl w:val="0"/>
                <w:numId w:val="7"/>
              </w:numPr>
              <w:rPr>
                <w:sz w:val="21"/>
                <w:szCs w:val="21"/>
              </w:rPr>
            </w:pPr>
            <w:r w:rsidRPr="0066303F">
              <w:rPr>
                <w:sz w:val="21"/>
                <w:szCs w:val="21"/>
              </w:rPr>
              <w:t>Western Beef</w:t>
            </w:r>
          </w:p>
          <w:p w14:paraId="33480E26" w14:textId="77777777" w:rsidR="00195214" w:rsidRPr="0066303F" w:rsidRDefault="00195214" w:rsidP="00E36846">
            <w:pPr>
              <w:pStyle w:val="ListParagraph"/>
              <w:numPr>
                <w:ilvl w:val="0"/>
                <w:numId w:val="5"/>
              </w:numPr>
              <w:rPr>
                <w:sz w:val="21"/>
                <w:szCs w:val="21"/>
                <w:lang w:eastAsia="en-AU"/>
              </w:rPr>
            </w:pPr>
            <w:r w:rsidRPr="0066303F">
              <w:rPr>
                <w:sz w:val="21"/>
                <w:szCs w:val="21"/>
                <w:lang w:eastAsia="en-AU"/>
              </w:rPr>
              <w:t>Grains Industry Association of WA</w:t>
            </w:r>
          </w:p>
          <w:p w14:paraId="6E538ED6" w14:textId="77777777" w:rsidR="00195214" w:rsidRPr="0066303F" w:rsidRDefault="00195214" w:rsidP="00E36846">
            <w:pPr>
              <w:pStyle w:val="ListParagraph"/>
              <w:numPr>
                <w:ilvl w:val="0"/>
                <w:numId w:val="6"/>
              </w:numPr>
              <w:rPr>
                <w:rFonts w:eastAsia="Times New Roman"/>
                <w:sz w:val="21"/>
                <w:szCs w:val="21"/>
                <w:lang w:eastAsia="en-AU"/>
              </w:rPr>
            </w:pPr>
            <w:r w:rsidRPr="0066303F">
              <w:rPr>
                <w:sz w:val="21"/>
                <w:szCs w:val="21"/>
              </w:rPr>
              <w:t>WA Lot Feeders Association</w:t>
            </w:r>
          </w:p>
          <w:p w14:paraId="169B8914" w14:textId="77777777" w:rsidR="00195214" w:rsidRPr="0066303F" w:rsidRDefault="00195214" w:rsidP="00E36846">
            <w:pPr>
              <w:pStyle w:val="ListParagraph"/>
              <w:numPr>
                <w:ilvl w:val="0"/>
                <w:numId w:val="7"/>
              </w:numPr>
              <w:rPr>
                <w:sz w:val="21"/>
                <w:szCs w:val="21"/>
              </w:rPr>
            </w:pPr>
            <w:r w:rsidRPr="0066303F">
              <w:rPr>
                <w:sz w:val="21"/>
                <w:szCs w:val="21"/>
              </w:rPr>
              <w:t>Ord River Growers Association</w:t>
            </w:r>
          </w:p>
          <w:p w14:paraId="67E675F1" w14:textId="77777777" w:rsidR="00195214" w:rsidRPr="0066303F" w:rsidRDefault="00195214" w:rsidP="00E36846">
            <w:pPr>
              <w:pStyle w:val="ListParagraph"/>
              <w:numPr>
                <w:ilvl w:val="0"/>
                <w:numId w:val="7"/>
              </w:numPr>
              <w:rPr>
                <w:sz w:val="21"/>
                <w:szCs w:val="21"/>
              </w:rPr>
            </w:pPr>
            <w:r w:rsidRPr="0066303F">
              <w:rPr>
                <w:sz w:val="21"/>
                <w:szCs w:val="21"/>
              </w:rPr>
              <w:t>Carnarvon Growers Association</w:t>
            </w:r>
          </w:p>
          <w:p w14:paraId="0F4788CD" w14:textId="77777777" w:rsidR="00195214" w:rsidRPr="0066303F" w:rsidRDefault="00195214" w:rsidP="00E36846">
            <w:pPr>
              <w:pStyle w:val="ListParagraph"/>
              <w:numPr>
                <w:ilvl w:val="0"/>
                <w:numId w:val="6"/>
              </w:numPr>
              <w:rPr>
                <w:sz w:val="21"/>
                <w:szCs w:val="21"/>
              </w:rPr>
            </w:pPr>
            <w:r w:rsidRPr="0066303F">
              <w:rPr>
                <w:sz w:val="21"/>
                <w:szCs w:val="21"/>
              </w:rPr>
              <w:t>WA Meat Industry Authority</w:t>
            </w:r>
          </w:p>
          <w:p w14:paraId="4657E9AD" w14:textId="77777777" w:rsidR="00195214" w:rsidRPr="0066303F" w:rsidRDefault="00195214" w:rsidP="00E36846">
            <w:pPr>
              <w:pStyle w:val="ListParagraph"/>
              <w:numPr>
                <w:ilvl w:val="0"/>
                <w:numId w:val="6"/>
              </w:numPr>
              <w:rPr>
                <w:sz w:val="21"/>
                <w:szCs w:val="21"/>
                <w:lang w:eastAsia="en-AU"/>
              </w:rPr>
            </w:pPr>
            <w:r w:rsidRPr="0066303F">
              <w:rPr>
                <w:sz w:val="21"/>
                <w:szCs w:val="21"/>
                <w:lang w:eastAsia="en-AU"/>
              </w:rPr>
              <w:t>Declared species groups</w:t>
            </w:r>
          </w:p>
          <w:p w14:paraId="35AC7D72" w14:textId="77777777" w:rsidR="00195214" w:rsidRPr="0066303F" w:rsidRDefault="00195214" w:rsidP="00E36846">
            <w:pPr>
              <w:pStyle w:val="ListParagraph"/>
              <w:numPr>
                <w:ilvl w:val="0"/>
                <w:numId w:val="6"/>
              </w:numPr>
              <w:rPr>
                <w:sz w:val="21"/>
                <w:szCs w:val="21"/>
                <w:lang w:eastAsia="en-AU"/>
              </w:rPr>
            </w:pPr>
            <w:r w:rsidRPr="0066303F">
              <w:rPr>
                <w:sz w:val="21"/>
                <w:szCs w:val="21"/>
                <w:lang w:eastAsia="en-AU"/>
              </w:rPr>
              <w:t>Stud Merino Breeders Association</w:t>
            </w:r>
          </w:p>
          <w:p w14:paraId="355551F6" w14:textId="77777777" w:rsidR="00195214" w:rsidRPr="0066303F" w:rsidRDefault="00195214" w:rsidP="00E36846">
            <w:pPr>
              <w:pStyle w:val="ListParagraph"/>
              <w:numPr>
                <w:ilvl w:val="0"/>
                <w:numId w:val="6"/>
              </w:numPr>
              <w:rPr>
                <w:sz w:val="21"/>
                <w:szCs w:val="21"/>
                <w:lang w:eastAsia="en-AU"/>
              </w:rPr>
            </w:pPr>
            <w:r w:rsidRPr="0066303F">
              <w:rPr>
                <w:sz w:val="21"/>
                <w:szCs w:val="21"/>
                <w:lang w:eastAsia="en-AU"/>
              </w:rPr>
              <w:t>WA Livestock Exporters Association</w:t>
            </w:r>
          </w:p>
          <w:p w14:paraId="25361227" w14:textId="77777777" w:rsidR="00195214" w:rsidRPr="0066303F" w:rsidRDefault="00195214" w:rsidP="00E36846">
            <w:pPr>
              <w:pStyle w:val="ListParagraph"/>
              <w:numPr>
                <w:ilvl w:val="0"/>
                <w:numId w:val="6"/>
              </w:numPr>
              <w:rPr>
                <w:sz w:val="21"/>
                <w:szCs w:val="21"/>
              </w:rPr>
            </w:pPr>
            <w:r w:rsidRPr="0066303F">
              <w:rPr>
                <w:sz w:val="21"/>
                <w:szCs w:val="21"/>
              </w:rPr>
              <w:t>Irrigation Australia</w:t>
            </w:r>
          </w:p>
          <w:p w14:paraId="26631618" w14:textId="77777777" w:rsidR="00195214" w:rsidRPr="0066303F" w:rsidRDefault="00195214" w:rsidP="00E36846">
            <w:pPr>
              <w:pStyle w:val="ListParagraph"/>
              <w:numPr>
                <w:ilvl w:val="0"/>
                <w:numId w:val="6"/>
              </w:numPr>
              <w:rPr>
                <w:sz w:val="21"/>
                <w:szCs w:val="21"/>
              </w:rPr>
            </w:pPr>
            <w:r w:rsidRPr="0066303F">
              <w:rPr>
                <w:sz w:val="21"/>
                <w:szCs w:val="21"/>
              </w:rPr>
              <w:t>Chamber of Minerals and Energy WA</w:t>
            </w:r>
          </w:p>
          <w:p w14:paraId="42536BD6" w14:textId="77777777" w:rsidR="00195214" w:rsidRPr="0066303F" w:rsidRDefault="00195214" w:rsidP="00E36846">
            <w:pPr>
              <w:pStyle w:val="ListParagraph"/>
              <w:numPr>
                <w:ilvl w:val="0"/>
                <w:numId w:val="6"/>
              </w:numPr>
              <w:rPr>
                <w:sz w:val="21"/>
                <w:szCs w:val="21"/>
              </w:rPr>
            </w:pPr>
            <w:r w:rsidRPr="0066303F">
              <w:rPr>
                <w:sz w:val="21"/>
                <w:szCs w:val="21"/>
              </w:rPr>
              <w:t>Department of Health</w:t>
            </w:r>
          </w:p>
          <w:p w14:paraId="155CD7C6" w14:textId="77777777" w:rsidR="00195214" w:rsidRPr="0066303F" w:rsidRDefault="00195214" w:rsidP="00E36846">
            <w:pPr>
              <w:pStyle w:val="ListParagraph"/>
              <w:numPr>
                <w:ilvl w:val="0"/>
                <w:numId w:val="6"/>
              </w:numPr>
              <w:rPr>
                <w:sz w:val="21"/>
                <w:szCs w:val="21"/>
              </w:rPr>
            </w:pPr>
            <w:r w:rsidRPr="0066303F">
              <w:rPr>
                <w:sz w:val="21"/>
                <w:szCs w:val="21"/>
              </w:rPr>
              <w:t>Centre for Phytophthora (Murdoch)</w:t>
            </w:r>
          </w:p>
          <w:p w14:paraId="25CE710B" w14:textId="77777777" w:rsidR="00195214" w:rsidRPr="0066303F" w:rsidRDefault="00195214" w:rsidP="00E36846">
            <w:pPr>
              <w:pStyle w:val="ListParagraph"/>
              <w:numPr>
                <w:ilvl w:val="0"/>
                <w:numId w:val="6"/>
              </w:numPr>
              <w:rPr>
                <w:sz w:val="21"/>
                <w:szCs w:val="21"/>
              </w:rPr>
            </w:pPr>
            <w:r w:rsidRPr="0066303F">
              <w:rPr>
                <w:sz w:val="21"/>
                <w:szCs w:val="21"/>
              </w:rPr>
              <w:t>Dieback Working Group</w:t>
            </w:r>
          </w:p>
          <w:p w14:paraId="7BD3699E" w14:textId="77777777" w:rsidR="00195214" w:rsidRPr="0066303F" w:rsidRDefault="00195214" w:rsidP="00E36846">
            <w:pPr>
              <w:pStyle w:val="ListParagraph"/>
              <w:numPr>
                <w:ilvl w:val="0"/>
                <w:numId w:val="6"/>
              </w:numPr>
              <w:rPr>
                <w:sz w:val="21"/>
                <w:szCs w:val="21"/>
              </w:rPr>
            </w:pPr>
            <w:r w:rsidRPr="0066303F">
              <w:rPr>
                <w:sz w:val="21"/>
                <w:szCs w:val="21"/>
              </w:rPr>
              <w:t>Ornamental fish industry</w:t>
            </w:r>
          </w:p>
          <w:p w14:paraId="7887BC32" w14:textId="77777777" w:rsidR="00195214" w:rsidRPr="0066303F" w:rsidRDefault="00195214" w:rsidP="00E36846">
            <w:pPr>
              <w:pStyle w:val="ListParagraph"/>
              <w:numPr>
                <w:ilvl w:val="0"/>
                <w:numId w:val="6"/>
              </w:numPr>
              <w:rPr>
                <w:sz w:val="21"/>
                <w:szCs w:val="21"/>
              </w:rPr>
            </w:pPr>
            <w:r w:rsidRPr="0066303F">
              <w:rPr>
                <w:sz w:val="21"/>
                <w:szCs w:val="21"/>
              </w:rPr>
              <w:t>Australian Wildlife Conservancy</w:t>
            </w:r>
          </w:p>
          <w:p w14:paraId="0A4BB64A" w14:textId="77777777" w:rsidR="00195214" w:rsidRPr="0066303F" w:rsidRDefault="00195214" w:rsidP="00E36846">
            <w:pPr>
              <w:pStyle w:val="ListParagraph"/>
              <w:numPr>
                <w:ilvl w:val="0"/>
                <w:numId w:val="6"/>
              </w:numPr>
              <w:rPr>
                <w:sz w:val="21"/>
                <w:szCs w:val="21"/>
              </w:rPr>
            </w:pPr>
            <w:r w:rsidRPr="0066303F">
              <w:rPr>
                <w:sz w:val="21"/>
                <w:szCs w:val="21"/>
              </w:rPr>
              <w:t>CBH</w:t>
            </w:r>
          </w:p>
        </w:tc>
        <w:tc>
          <w:tcPr>
            <w:tcW w:w="1801" w:type="pct"/>
          </w:tcPr>
          <w:p w14:paraId="159CEC8F" w14:textId="77777777" w:rsidR="00195214" w:rsidRPr="0066303F" w:rsidRDefault="00195214" w:rsidP="00E36846">
            <w:pPr>
              <w:pStyle w:val="ListParagraph"/>
              <w:numPr>
                <w:ilvl w:val="0"/>
                <w:numId w:val="6"/>
              </w:numPr>
              <w:rPr>
                <w:sz w:val="21"/>
                <w:szCs w:val="21"/>
              </w:rPr>
            </w:pPr>
            <w:r w:rsidRPr="0066303F">
              <w:rPr>
                <w:sz w:val="21"/>
                <w:szCs w:val="21"/>
              </w:rPr>
              <w:t>Department of Mines and Petroleum</w:t>
            </w:r>
          </w:p>
          <w:p w14:paraId="402BDBDA" w14:textId="77777777" w:rsidR="00195214" w:rsidRPr="0066303F" w:rsidRDefault="00195214" w:rsidP="00E36846">
            <w:pPr>
              <w:pStyle w:val="ListParagraph"/>
              <w:numPr>
                <w:ilvl w:val="0"/>
                <w:numId w:val="6"/>
              </w:numPr>
              <w:rPr>
                <w:sz w:val="21"/>
                <w:szCs w:val="21"/>
                <w:lang w:eastAsia="en-AU"/>
              </w:rPr>
            </w:pPr>
            <w:r w:rsidRPr="0066303F">
              <w:rPr>
                <w:sz w:val="21"/>
                <w:szCs w:val="21"/>
                <w:lang w:eastAsia="en-AU"/>
              </w:rPr>
              <w:t>Australian Veterinary Association (WA)</w:t>
            </w:r>
          </w:p>
          <w:p w14:paraId="6D9E12FC" w14:textId="77777777" w:rsidR="00195214" w:rsidRPr="0066303F" w:rsidRDefault="00195214" w:rsidP="00E36846">
            <w:pPr>
              <w:pStyle w:val="ListParagraph"/>
              <w:numPr>
                <w:ilvl w:val="0"/>
                <w:numId w:val="7"/>
              </w:numPr>
              <w:rPr>
                <w:sz w:val="21"/>
                <w:szCs w:val="21"/>
              </w:rPr>
            </w:pPr>
            <w:r w:rsidRPr="0066303F">
              <w:rPr>
                <w:sz w:val="21"/>
                <w:szCs w:val="21"/>
              </w:rPr>
              <w:t>Invasive Species Council</w:t>
            </w:r>
          </w:p>
          <w:p w14:paraId="644B30C0" w14:textId="77777777" w:rsidR="00195214" w:rsidRPr="0066303F" w:rsidRDefault="00195214" w:rsidP="00E36846">
            <w:pPr>
              <w:pStyle w:val="ListParagraph"/>
              <w:numPr>
                <w:ilvl w:val="0"/>
                <w:numId w:val="7"/>
              </w:numPr>
              <w:rPr>
                <w:sz w:val="21"/>
                <w:szCs w:val="21"/>
              </w:rPr>
            </w:pPr>
            <w:r w:rsidRPr="0066303F">
              <w:rPr>
                <w:sz w:val="21"/>
                <w:szCs w:val="21"/>
              </w:rPr>
              <w:t>Environmental Weeds Action Network</w:t>
            </w:r>
          </w:p>
          <w:p w14:paraId="339A2279" w14:textId="77777777" w:rsidR="00195214" w:rsidRPr="0066303F" w:rsidRDefault="00195214" w:rsidP="00E36846">
            <w:pPr>
              <w:pStyle w:val="ListParagraph"/>
              <w:numPr>
                <w:ilvl w:val="0"/>
                <w:numId w:val="7"/>
              </w:numPr>
              <w:rPr>
                <w:sz w:val="21"/>
                <w:szCs w:val="21"/>
              </w:rPr>
            </w:pPr>
            <w:r w:rsidRPr="0066303F">
              <w:rPr>
                <w:sz w:val="21"/>
                <w:szCs w:val="21"/>
              </w:rPr>
              <w:t>Plant Health Australia</w:t>
            </w:r>
          </w:p>
          <w:p w14:paraId="3B2944F0" w14:textId="77777777" w:rsidR="00195214" w:rsidRPr="0066303F" w:rsidRDefault="00195214" w:rsidP="00E36846">
            <w:pPr>
              <w:pStyle w:val="ListParagraph"/>
              <w:numPr>
                <w:ilvl w:val="0"/>
                <w:numId w:val="7"/>
              </w:numPr>
              <w:rPr>
                <w:sz w:val="21"/>
                <w:szCs w:val="21"/>
              </w:rPr>
            </w:pPr>
            <w:r w:rsidRPr="0066303F">
              <w:rPr>
                <w:sz w:val="21"/>
                <w:szCs w:val="21"/>
              </w:rPr>
              <w:t>Animal Health Australia</w:t>
            </w:r>
          </w:p>
          <w:p w14:paraId="394681E1" w14:textId="77777777" w:rsidR="00195214" w:rsidRPr="0066303F" w:rsidRDefault="00195214" w:rsidP="00E36846">
            <w:pPr>
              <w:pStyle w:val="ListParagraph"/>
              <w:numPr>
                <w:ilvl w:val="0"/>
                <w:numId w:val="7"/>
              </w:numPr>
              <w:rPr>
                <w:sz w:val="21"/>
                <w:szCs w:val="21"/>
              </w:rPr>
            </w:pPr>
            <w:r w:rsidRPr="0066303F">
              <w:rPr>
                <w:sz w:val="21"/>
                <w:szCs w:val="21"/>
              </w:rPr>
              <w:t>Department of Transport</w:t>
            </w:r>
          </w:p>
          <w:p w14:paraId="60F174A5" w14:textId="77777777" w:rsidR="00195214" w:rsidRPr="0066303F" w:rsidRDefault="00195214" w:rsidP="00E36846">
            <w:pPr>
              <w:pStyle w:val="ListParagraph"/>
              <w:numPr>
                <w:ilvl w:val="0"/>
                <w:numId w:val="7"/>
              </w:numPr>
              <w:rPr>
                <w:sz w:val="21"/>
                <w:szCs w:val="21"/>
              </w:rPr>
            </w:pPr>
            <w:r w:rsidRPr="0066303F">
              <w:rPr>
                <w:sz w:val="21"/>
                <w:szCs w:val="21"/>
              </w:rPr>
              <w:t>RSPCA</w:t>
            </w:r>
          </w:p>
          <w:p w14:paraId="2A14CAF7" w14:textId="77777777" w:rsidR="00195214" w:rsidRPr="0066303F" w:rsidRDefault="00195214" w:rsidP="0066303F">
            <w:pPr>
              <w:rPr>
                <w:sz w:val="21"/>
                <w:szCs w:val="21"/>
              </w:rPr>
            </w:pPr>
          </w:p>
        </w:tc>
      </w:tr>
    </w:tbl>
    <w:p w14:paraId="7AB98326" w14:textId="0FE3827A" w:rsidR="00A86CFE" w:rsidRPr="00A86CFE" w:rsidRDefault="00A86CFE" w:rsidP="00A86CFE">
      <w:pPr>
        <w:spacing w:line="240" w:lineRule="auto"/>
        <w:rPr>
          <w:b/>
        </w:rPr>
      </w:pPr>
      <w:r>
        <w:br w:type="page"/>
      </w:r>
    </w:p>
    <w:p w14:paraId="7E51467C" w14:textId="0309C554" w:rsidR="000F7803" w:rsidRPr="006C2FF6" w:rsidRDefault="000F7803" w:rsidP="006F66EF">
      <w:pPr>
        <w:pStyle w:val="Caption"/>
        <w:spacing w:line="264" w:lineRule="auto"/>
        <w:ind w:left="1134" w:hanging="1134"/>
        <w:rPr>
          <w:color w:val="auto"/>
          <w:sz w:val="22"/>
          <w:szCs w:val="22"/>
        </w:rPr>
      </w:pPr>
      <w:r w:rsidRPr="006C2FF6">
        <w:rPr>
          <w:color w:val="auto"/>
          <w:sz w:val="22"/>
          <w:szCs w:val="22"/>
        </w:rPr>
        <w:lastRenderedPageBreak/>
        <w:t>Table1</w:t>
      </w:r>
      <w:r w:rsidR="00C25602" w:rsidRPr="006C2FF6">
        <w:rPr>
          <w:color w:val="auto"/>
          <w:sz w:val="22"/>
          <w:szCs w:val="22"/>
        </w:rPr>
        <w:t>.</w:t>
      </w:r>
      <w:r w:rsidRPr="006C2FF6">
        <w:rPr>
          <w:color w:val="auto"/>
          <w:sz w:val="22"/>
          <w:szCs w:val="22"/>
        </w:rPr>
        <w:t xml:space="preserve"> </w:t>
      </w:r>
      <w:r w:rsidR="006F66EF">
        <w:rPr>
          <w:color w:val="auto"/>
          <w:sz w:val="22"/>
          <w:szCs w:val="22"/>
        </w:rPr>
        <w:tab/>
      </w:r>
      <w:r w:rsidRPr="006C2FF6">
        <w:rPr>
          <w:color w:val="auto"/>
          <w:sz w:val="22"/>
          <w:szCs w:val="22"/>
        </w:rPr>
        <w:t>Participants in stakeholder discussions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1 - list of participants in stakeholder discussions"/>
      </w:tblPr>
      <w:tblGrid>
        <w:gridCol w:w="1886"/>
        <w:gridCol w:w="3124"/>
        <w:gridCol w:w="1937"/>
        <w:gridCol w:w="2296"/>
      </w:tblGrid>
      <w:tr w:rsidR="000F7803" w:rsidRPr="006C2FF6" w14:paraId="2BE45001" w14:textId="77777777" w:rsidTr="007814E2">
        <w:trPr>
          <w:cantSplit/>
          <w:tblHeader/>
        </w:trPr>
        <w:tc>
          <w:tcPr>
            <w:tcW w:w="1951" w:type="dxa"/>
            <w:shd w:val="clear" w:color="auto" w:fill="EAF1DD" w:themeFill="accent3" w:themeFillTint="33"/>
          </w:tcPr>
          <w:p w14:paraId="0F0A0F64" w14:textId="77777777" w:rsidR="000F7803" w:rsidRPr="006C2FF6" w:rsidRDefault="000F7803" w:rsidP="00F85F27">
            <w:pPr>
              <w:spacing w:before="40" w:after="40" w:line="240" w:lineRule="auto"/>
              <w:rPr>
                <w:rFonts w:cs="Arial"/>
                <w:b/>
              </w:rPr>
            </w:pPr>
            <w:r w:rsidRPr="006C2FF6">
              <w:rPr>
                <w:rFonts w:cs="Arial"/>
                <w:b/>
              </w:rPr>
              <w:t>Date</w:t>
            </w:r>
          </w:p>
        </w:tc>
        <w:tc>
          <w:tcPr>
            <w:tcW w:w="3260" w:type="dxa"/>
            <w:shd w:val="clear" w:color="auto" w:fill="EAF1DD" w:themeFill="accent3" w:themeFillTint="33"/>
          </w:tcPr>
          <w:p w14:paraId="0FFD2B0D" w14:textId="77777777" w:rsidR="000F7803" w:rsidRPr="006C2FF6" w:rsidRDefault="000F7803" w:rsidP="00F85F27">
            <w:pPr>
              <w:spacing w:before="40" w:after="40" w:line="240" w:lineRule="auto"/>
              <w:rPr>
                <w:rFonts w:cs="Arial"/>
                <w:b/>
              </w:rPr>
            </w:pPr>
            <w:r w:rsidRPr="006C2FF6">
              <w:rPr>
                <w:rFonts w:cs="Arial"/>
                <w:b/>
              </w:rPr>
              <w:t>Stakeholder</w:t>
            </w:r>
          </w:p>
        </w:tc>
        <w:tc>
          <w:tcPr>
            <w:tcW w:w="1977" w:type="dxa"/>
            <w:shd w:val="clear" w:color="auto" w:fill="EAF1DD" w:themeFill="accent3" w:themeFillTint="33"/>
          </w:tcPr>
          <w:p w14:paraId="7E693C47" w14:textId="744799FD" w:rsidR="000F7803" w:rsidRPr="006C2FF6" w:rsidRDefault="00704A1A" w:rsidP="00F85F27">
            <w:pPr>
              <w:spacing w:before="40" w:after="40" w:line="240" w:lineRule="auto"/>
              <w:jc w:val="center"/>
              <w:rPr>
                <w:rFonts w:cs="Arial"/>
                <w:b/>
              </w:rPr>
            </w:pPr>
            <w:r w:rsidRPr="006C2FF6">
              <w:rPr>
                <w:rFonts w:cs="Arial"/>
                <w:b/>
              </w:rPr>
              <w:t>No. p</w:t>
            </w:r>
            <w:r w:rsidR="000F7803" w:rsidRPr="006C2FF6">
              <w:rPr>
                <w:rFonts w:cs="Arial"/>
                <w:b/>
              </w:rPr>
              <w:t>articipants</w:t>
            </w:r>
          </w:p>
        </w:tc>
        <w:tc>
          <w:tcPr>
            <w:tcW w:w="2388" w:type="dxa"/>
            <w:shd w:val="clear" w:color="auto" w:fill="EAF1DD" w:themeFill="accent3" w:themeFillTint="33"/>
          </w:tcPr>
          <w:p w14:paraId="263A7697" w14:textId="77777777" w:rsidR="000F7803" w:rsidRPr="006C2FF6" w:rsidRDefault="000F7803" w:rsidP="00F85F27">
            <w:pPr>
              <w:spacing w:before="40" w:after="40" w:line="240" w:lineRule="auto"/>
              <w:rPr>
                <w:rFonts w:cs="Arial"/>
                <w:b/>
              </w:rPr>
            </w:pPr>
            <w:r w:rsidRPr="006C2FF6">
              <w:rPr>
                <w:rFonts w:cs="Arial"/>
                <w:b/>
              </w:rPr>
              <w:t>Council members</w:t>
            </w:r>
          </w:p>
        </w:tc>
      </w:tr>
      <w:tr w:rsidR="000F7803" w:rsidRPr="006C2FF6" w14:paraId="6A823049" w14:textId="77777777" w:rsidTr="007814E2">
        <w:trPr>
          <w:cantSplit/>
        </w:trPr>
        <w:tc>
          <w:tcPr>
            <w:tcW w:w="1951" w:type="dxa"/>
          </w:tcPr>
          <w:p w14:paraId="70DE0556" w14:textId="77777777" w:rsidR="000F7803" w:rsidRPr="006C2FF6" w:rsidRDefault="000F7803" w:rsidP="00F85F27">
            <w:pPr>
              <w:spacing w:before="40" w:after="40" w:line="240" w:lineRule="auto"/>
              <w:rPr>
                <w:rFonts w:cs="Arial"/>
              </w:rPr>
            </w:pPr>
            <w:r w:rsidRPr="006C2FF6">
              <w:rPr>
                <w:rFonts w:cs="Arial"/>
              </w:rPr>
              <w:t>10 February 2014</w:t>
            </w:r>
          </w:p>
        </w:tc>
        <w:tc>
          <w:tcPr>
            <w:tcW w:w="3260" w:type="dxa"/>
          </w:tcPr>
          <w:p w14:paraId="107F9F51" w14:textId="77777777" w:rsidR="000F7803" w:rsidRPr="006C2FF6" w:rsidRDefault="000F7803" w:rsidP="00F85F27">
            <w:pPr>
              <w:spacing w:before="40" w:after="40" w:line="240" w:lineRule="auto"/>
              <w:rPr>
                <w:rFonts w:cs="Arial"/>
              </w:rPr>
            </w:pPr>
            <w:r w:rsidRPr="006C2FF6">
              <w:rPr>
                <w:rFonts w:cs="Arial"/>
              </w:rPr>
              <w:t>Cattle Industry Funding Scheme Management Committee (IMC)</w:t>
            </w:r>
          </w:p>
        </w:tc>
        <w:tc>
          <w:tcPr>
            <w:tcW w:w="1977" w:type="dxa"/>
          </w:tcPr>
          <w:p w14:paraId="43F3489E" w14:textId="4EAA9616" w:rsidR="000F7803" w:rsidRPr="006C2FF6" w:rsidRDefault="00704A1A" w:rsidP="00F85F27">
            <w:pPr>
              <w:spacing w:before="40" w:after="40" w:line="240" w:lineRule="auto"/>
              <w:jc w:val="center"/>
              <w:rPr>
                <w:rFonts w:cs="Arial"/>
              </w:rPr>
            </w:pPr>
            <w:r w:rsidRPr="006C2FF6">
              <w:rPr>
                <w:rFonts w:cs="Arial"/>
              </w:rPr>
              <w:t>6</w:t>
            </w:r>
          </w:p>
        </w:tc>
        <w:tc>
          <w:tcPr>
            <w:tcW w:w="2388" w:type="dxa"/>
          </w:tcPr>
          <w:p w14:paraId="6735BCCC" w14:textId="77777777" w:rsidR="000F7803" w:rsidRPr="006C2FF6" w:rsidRDefault="000F7803" w:rsidP="00F85F27">
            <w:pPr>
              <w:spacing w:before="40" w:after="40" w:line="240" w:lineRule="auto"/>
              <w:rPr>
                <w:rFonts w:cs="Arial"/>
              </w:rPr>
            </w:pPr>
            <w:r w:rsidRPr="006C2FF6">
              <w:rPr>
                <w:rFonts w:cs="Arial"/>
              </w:rPr>
              <w:t>Michelle Allen</w:t>
            </w:r>
          </w:p>
          <w:p w14:paraId="1398D16D" w14:textId="77777777" w:rsidR="000F7803" w:rsidRPr="006C2FF6" w:rsidRDefault="000F7803" w:rsidP="00F85F27">
            <w:pPr>
              <w:spacing w:before="40" w:after="40" w:line="240" w:lineRule="auto"/>
              <w:rPr>
                <w:rFonts w:cs="Arial"/>
              </w:rPr>
            </w:pPr>
            <w:r w:rsidRPr="006C2FF6">
              <w:rPr>
                <w:rFonts w:cs="Arial"/>
              </w:rPr>
              <w:t>Kevin Goss</w:t>
            </w:r>
          </w:p>
          <w:p w14:paraId="68A70AFA" w14:textId="77777777" w:rsidR="000F7803" w:rsidRPr="006C2FF6" w:rsidRDefault="000F7803" w:rsidP="00F85F27">
            <w:pPr>
              <w:spacing w:before="40" w:after="40" w:line="240" w:lineRule="auto"/>
              <w:rPr>
                <w:rFonts w:cs="Arial"/>
              </w:rPr>
            </w:pPr>
            <w:r w:rsidRPr="006C2FF6">
              <w:rPr>
                <w:rFonts w:cs="Arial"/>
              </w:rPr>
              <w:t>Rebecca Heath (DAFWA)</w:t>
            </w:r>
          </w:p>
          <w:p w14:paraId="6B5D047D" w14:textId="77777777" w:rsidR="000F7803" w:rsidRPr="006C2FF6" w:rsidRDefault="000F7803" w:rsidP="00F85F27">
            <w:pPr>
              <w:spacing w:before="40" w:after="40" w:line="240" w:lineRule="auto"/>
              <w:rPr>
                <w:rFonts w:cs="Arial"/>
              </w:rPr>
            </w:pPr>
            <w:r w:rsidRPr="006C2FF6">
              <w:rPr>
                <w:rFonts w:cs="Arial"/>
              </w:rPr>
              <w:t>Alison Wilson (DAFWA)</w:t>
            </w:r>
          </w:p>
        </w:tc>
      </w:tr>
      <w:tr w:rsidR="000F7803" w:rsidRPr="006C2FF6" w14:paraId="093DA262" w14:textId="77777777" w:rsidTr="007814E2">
        <w:trPr>
          <w:cantSplit/>
        </w:trPr>
        <w:tc>
          <w:tcPr>
            <w:tcW w:w="1951" w:type="dxa"/>
            <w:shd w:val="clear" w:color="auto" w:fill="F2F2F2" w:themeFill="background1" w:themeFillShade="F2"/>
          </w:tcPr>
          <w:p w14:paraId="1F834A8C" w14:textId="77777777" w:rsidR="000F7803" w:rsidRPr="006C2FF6" w:rsidRDefault="000F7803" w:rsidP="00F85F27">
            <w:pPr>
              <w:spacing w:before="40" w:after="40" w:line="240" w:lineRule="auto"/>
              <w:rPr>
                <w:rFonts w:cs="Arial"/>
              </w:rPr>
            </w:pPr>
            <w:r w:rsidRPr="006C2FF6">
              <w:rPr>
                <w:rFonts w:cs="Arial"/>
              </w:rPr>
              <w:t>26 February 2014</w:t>
            </w:r>
          </w:p>
        </w:tc>
        <w:tc>
          <w:tcPr>
            <w:tcW w:w="3260" w:type="dxa"/>
            <w:shd w:val="clear" w:color="auto" w:fill="F2F2F2" w:themeFill="background1" w:themeFillShade="F2"/>
          </w:tcPr>
          <w:p w14:paraId="0ACF912A" w14:textId="77777777" w:rsidR="000F7803" w:rsidRPr="006C2FF6" w:rsidRDefault="000F7803" w:rsidP="00F85F27">
            <w:pPr>
              <w:spacing w:before="40" w:after="40" w:line="240" w:lineRule="auto"/>
              <w:rPr>
                <w:rFonts w:cs="Arial"/>
              </w:rPr>
            </w:pPr>
            <w:r w:rsidRPr="006C2FF6">
              <w:rPr>
                <w:rFonts w:cs="Arial"/>
              </w:rPr>
              <w:t>Pastoral Lands Board</w:t>
            </w:r>
          </w:p>
        </w:tc>
        <w:tc>
          <w:tcPr>
            <w:tcW w:w="1977" w:type="dxa"/>
            <w:shd w:val="clear" w:color="auto" w:fill="F2F2F2" w:themeFill="background1" w:themeFillShade="F2"/>
          </w:tcPr>
          <w:p w14:paraId="57CEA80C" w14:textId="57D7AB8B" w:rsidR="000F7803" w:rsidRPr="006C2FF6" w:rsidRDefault="00704A1A" w:rsidP="00F85F27">
            <w:pPr>
              <w:spacing w:before="40" w:after="40" w:line="240" w:lineRule="auto"/>
              <w:jc w:val="center"/>
              <w:rPr>
                <w:rFonts w:cs="Arial"/>
              </w:rPr>
            </w:pPr>
            <w:r w:rsidRPr="006C2FF6">
              <w:rPr>
                <w:rFonts w:cs="Arial"/>
              </w:rPr>
              <w:t>9</w:t>
            </w:r>
          </w:p>
        </w:tc>
        <w:tc>
          <w:tcPr>
            <w:tcW w:w="2388" w:type="dxa"/>
            <w:shd w:val="clear" w:color="auto" w:fill="F2F2F2" w:themeFill="background1" w:themeFillShade="F2"/>
          </w:tcPr>
          <w:p w14:paraId="2E11B2EC" w14:textId="77777777" w:rsidR="000F7803" w:rsidRPr="006C2FF6" w:rsidRDefault="000F7803" w:rsidP="00F85F27">
            <w:pPr>
              <w:spacing w:before="40" w:after="40" w:line="240" w:lineRule="auto"/>
              <w:rPr>
                <w:rFonts w:cs="Arial"/>
              </w:rPr>
            </w:pPr>
            <w:r w:rsidRPr="006C2FF6">
              <w:rPr>
                <w:rFonts w:cs="Arial"/>
              </w:rPr>
              <w:t>Kevin Goss</w:t>
            </w:r>
          </w:p>
          <w:p w14:paraId="7809D26F" w14:textId="77777777" w:rsidR="000F7803" w:rsidRPr="006C2FF6" w:rsidRDefault="000F7803" w:rsidP="00F85F27">
            <w:pPr>
              <w:spacing w:before="40" w:after="40" w:line="240" w:lineRule="auto"/>
              <w:rPr>
                <w:rFonts w:cs="Arial"/>
              </w:rPr>
            </w:pPr>
            <w:r w:rsidRPr="006C2FF6">
              <w:rPr>
                <w:rFonts w:cs="Arial"/>
              </w:rPr>
              <w:t>Alan Robson</w:t>
            </w:r>
          </w:p>
          <w:p w14:paraId="2BDAF033" w14:textId="77777777" w:rsidR="000F7803" w:rsidRPr="006C2FF6" w:rsidRDefault="000F7803" w:rsidP="00F85F27">
            <w:pPr>
              <w:spacing w:before="40" w:after="40" w:line="240" w:lineRule="auto"/>
              <w:rPr>
                <w:rFonts w:cs="Arial"/>
              </w:rPr>
            </w:pPr>
            <w:r w:rsidRPr="006C2FF6">
              <w:rPr>
                <w:rFonts w:cs="Arial"/>
              </w:rPr>
              <w:t>Alison Wilson (DAFWA)</w:t>
            </w:r>
          </w:p>
        </w:tc>
      </w:tr>
      <w:tr w:rsidR="000F7803" w:rsidRPr="006C2FF6" w14:paraId="6D2E4847" w14:textId="77777777" w:rsidTr="007814E2">
        <w:trPr>
          <w:cantSplit/>
        </w:trPr>
        <w:tc>
          <w:tcPr>
            <w:tcW w:w="1951" w:type="dxa"/>
          </w:tcPr>
          <w:p w14:paraId="1C8B3284" w14:textId="77777777" w:rsidR="000F7803" w:rsidRPr="006C2FF6" w:rsidRDefault="000F7803" w:rsidP="00F85F27">
            <w:pPr>
              <w:spacing w:before="40" w:after="40" w:line="240" w:lineRule="auto"/>
              <w:rPr>
                <w:rFonts w:cs="Arial"/>
              </w:rPr>
            </w:pPr>
            <w:r w:rsidRPr="006C2FF6">
              <w:rPr>
                <w:rFonts w:cs="Arial"/>
              </w:rPr>
              <w:t>27 February 2014</w:t>
            </w:r>
          </w:p>
        </w:tc>
        <w:tc>
          <w:tcPr>
            <w:tcW w:w="3260" w:type="dxa"/>
          </w:tcPr>
          <w:p w14:paraId="231DAC2D" w14:textId="77777777" w:rsidR="000F7803" w:rsidRPr="006C2FF6" w:rsidRDefault="000F7803" w:rsidP="00F85F27">
            <w:pPr>
              <w:spacing w:before="40" w:after="40" w:line="240" w:lineRule="auto"/>
              <w:rPr>
                <w:rFonts w:cs="Arial"/>
              </w:rPr>
            </w:pPr>
            <w:r w:rsidRPr="006C2FF6">
              <w:rPr>
                <w:rFonts w:cs="Arial"/>
              </w:rPr>
              <w:t>Grains, Seeds and Hay IMC</w:t>
            </w:r>
          </w:p>
        </w:tc>
        <w:tc>
          <w:tcPr>
            <w:tcW w:w="1977" w:type="dxa"/>
          </w:tcPr>
          <w:p w14:paraId="7802696B" w14:textId="3E84597B" w:rsidR="000F7803" w:rsidRPr="006C2FF6" w:rsidRDefault="00704A1A" w:rsidP="00F85F27">
            <w:pPr>
              <w:spacing w:before="40" w:after="40" w:line="240" w:lineRule="auto"/>
              <w:jc w:val="center"/>
              <w:rPr>
                <w:rFonts w:cs="Arial"/>
              </w:rPr>
            </w:pPr>
            <w:r w:rsidRPr="006C2FF6">
              <w:rPr>
                <w:rFonts w:cs="Arial"/>
              </w:rPr>
              <w:t>5</w:t>
            </w:r>
          </w:p>
        </w:tc>
        <w:tc>
          <w:tcPr>
            <w:tcW w:w="2388" w:type="dxa"/>
          </w:tcPr>
          <w:p w14:paraId="0F931DE4" w14:textId="77777777" w:rsidR="000F7803" w:rsidRPr="006C2FF6" w:rsidRDefault="000F7803" w:rsidP="00F85F27">
            <w:pPr>
              <w:spacing w:before="40" w:after="40" w:line="240" w:lineRule="auto"/>
              <w:rPr>
                <w:rFonts w:cs="Arial"/>
              </w:rPr>
            </w:pPr>
            <w:r w:rsidRPr="006C2FF6">
              <w:rPr>
                <w:rFonts w:cs="Arial"/>
              </w:rPr>
              <w:t>David Jarvie</w:t>
            </w:r>
          </w:p>
          <w:p w14:paraId="19EE7C96" w14:textId="77777777" w:rsidR="000F7803" w:rsidRPr="006C2FF6" w:rsidRDefault="000F7803" w:rsidP="00F85F27">
            <w:pPr>
              <w:spacing w:before="40" w:after="40" w:line="240" w:lineRule="auto"/>
              <w:rPr>
                <w:rFonts w:cs="Arial"/>
              </w:rPr>
            </w:pPr>
            <w:r w:rsidRPr="006C2FF6">
              <w:rPr>
                <w:rFonts w:cs="Arial"/>
              </w:rPr>
              <w:t>Rebecca Heath (DAFWA)</w:t>
            </w:r>
          </w:p>
        </w:tc>
      </w:tr>
      <w:tr w:rsidR="000F7803" w:rsidRPr="006C2FF6" w14:paraId="7D674634" w14:textId="77777777" w:rsidTr="007814E2">
        <w:trPr>
          <w:cantSplit/>
        </w:trPr>
        <w:tc>
          <w:tcPr>
            <w:tcW w:w="1951" w:type="dxa"/>
            <w:shd w:val="clear" w:color="auto" w:fill="F2F2F2" w:themeFill="background1" w:themeFillShade="F2"/>
          </w:tcPr>
          <w:p w14:paraId="2397B811" w14:textId="77777777" w:rsidR="000F7803" w:rsidRPr="006C2FF6" w:rsidRDefault="000F7803" w:rsidP="00F85F27">
            <w:pPr>
              <w:spacing w:before="40" w:after="40" w:line="240" w:lineRule="auto"/>
              <w:rPr>
                <w:rFonts w:cs="Arial"/>
              </w:rPr>
            </w:pPr>
            <w:r w:rsidRPr="006C2FF6">
              <w:rPr>
                <w:rFonts w:cs="Arial"/>
              </w:rPr>
              <w:t>7 April 2014</w:t>
            </w:r>
          </w:p>
        </w:tc>
        <w:tc>
          <w:tcPr>
            <w:tcW w:w="3260" w:type="dxa"/>
            <w:shd w:val="clear" w:color="auto" w:fill="F2F2F2" w:themeFill="background1" w:themeFillShade="F2"/>
          </w:tcPr>
          <w:p w14:paraId="0E7D29CA" w14:textId="77777777" w:rsidR="000F7803" w:rsidRPr="006C2FF6" w:rsidRDefault="000F7803" w:rsidP="00F85F27">
            <w:pPr>
              <w:spacing w:before="40" w:after="40" w:line="240" w:lineRule="auto"/>
              <w:rPr>
                <w:rFonts w:cs="Arial"/>
              </w:rPr>
            </w:pPr>
            <w:r w:rsidRPr="006C2FF6">
              <w:rPr>
                <w:rFonts w:cs="Arial"/>
              </w:rPr>
              <w:t>Department of Premier and Cabinet</w:t>
            </w:r>
          </w:p>
        </w:tc>
        <w:tc>
          <w:tcPr>
            <w:tcW w:w="1977" w:type="dxa"/>
            <w:shd w:val="clear" w:color="auto" w:fill="F2F2F2" w:themeFill="background1" w:themeFillShade="F2"/>
          </w:tcPr>
          <w:p w14:paraId="72B8D40A" w14:textId="4CE3EE51" w:rsidR="000F7803" w:rsidRPr="006C2FF6" w:rsidRDefault="00704A1A" w:rsidP="00F85F27">
            <w:pPr>
              <w:spacing w:before="40" w:after="40" w:line="240" w:lineRule="auto"/>
              <w:jc w:val="center"/>
              <w:rPr>
                <w:rFonts w:cs="Arial"/>
              </w:rPr>
            </w:pPr>
            <w:r w:rsidRPr="006C2FF6">
              <w:rPr>
                <w:rFonts w:cs="Arial"/>
              </w:rPr>
              <w:t>1</w:t>
            </w:r>
          </w:p>
        </w:tc>
        <w:tc>
          <w:tcPr>
            <w:tcW w:w="2388" w:type="dxa"/>
            <w:shd w:val="clear" w:color="auto" w:fill="F2F2F2" w:themeFill="background1" w:themeFillShade="F2"/>
          </w:tcPr>
          <w:p w14:paraId="37AB8389" w14:textId="77777777" w:rsidR="000F7803" w:rsidRPr="006C2FF6" w:rsidRDefault="000F7803" w:rsidP="00F85F27">
            <w:pPr>
              <w:spacing w:before="40" w:after="40" w:line="240" w:lineRule="auto"/>
              <w:rPr>
                <w:rFonts w:cs="Arial"/>
              </w:rPr>
            </w:pPr>
            <w:r w:rsidRPr="006C2FF6">
              <w:rPr>
                <w:rFonts w:cs="Arial"/>
              </w:rPr>
              <w:t xml:space="preserve">Alan Robson </w:t>
            </w:r>
          </w:p>
          <w:p w14:paraId="49E1FB02" w14:textId="77777777" w:rsidR="000F7803" w:rsidRPr="006C2FF6" w:rsidRDefault="000F7803" w:rsidP="00F85F27">
            <w:pPr>
              <w:spacing w:before="40" w:after="40" w:line="240" w:lineRule="auto"/>
              <w:rPr>
                <w:rFonts w:cs="Arial"/>
              </w:rPr>
            </w:pPr>
            <w:r w:rsidRPr="006C2FF6">
              <w:rPr>
                <w:rFonts w:cs="Arial"/>
              </w:rPr>
              <w:t>Rebecca Heath (DAFWA)</w:t>
            </w:r>
          </w:p>
        </w:tc>
      </w:tr>
      <w:tr w:rsidR="000F7803" w:rsidRPr="006C2FF6" w14:paraId="3F17E28B" w14:textId="77777777" w:rsidTr="007814E2">
        <w:trPr>
          <w:cantSplit/>
        </w:trPr>
        <w:tc>
          <w:tcPr>
            <w:tcW w:w="1951" w:type="dxa"/>
          </w:tcPr>
          <w:p w14:paraId="7DFD27DB" w14:textId="77777777" w:rsidR="000F7803" w:rsidRPr="006C2FF6" w:rsidRDefault="000F7803" w:rsidP="00F85F27">
            <w:pPr>
              <w:spacing w:before="40" w:after="40" w:line="240" w:lineRule="auto"/>
              <w:rPr>
                <w:rFonts w:cs="Arial"/>
              </w:rPr>
            </w:pPr>
            <w:r w:rsidRPr="006C2FF6">
              <w:rPr>
                <w:rFonts w:cs="Arial"/>
              </w:rPr>
              <w:t>9 April 2014</w:t>
            </w:r>
          </w:p>
        </w:tc>
        <w:tc>
          <w:tcPr>
            <w:tcW w:w="3260" w:type="dxa"/>
          </w:tcPr>
          <w:p w14:paraId="73EEFD35" w14:textId="77777777" w:rsidR="000F7803" w:rsidRPr="006C2FF6" w:rsidRDefault="000F7803" w:rsidP="00F85F27">
            <w:pPr>
              <w:spacing w:before="40" w:after="40" w:line="240" w:lineRule="auto"/>
              <w:rPr>
                <w:rFonts w:cs="Arial"/>
              </w:rPr>
            </w:pPr>
            <w:r w:rsidRPr="006C2FF6">
              <w:rPr>
                <w:rFonts w:cs="Arial"/>
              </w:rPr>
              <w:t>Department of Fisheries</w:t>
            </w:r>
          </w:p>
        </w:tc>
        <w:tc>
          <w:tcPr>
            <w:tcW w:w="1977" w:type="dxa"/>
          </w:tcPr>
          <w:p w14:paraId="473B5445" w14:textId="612280D6" w:rsidR="000F7803" w:rsidRPr="006C2FF6" w:rsidRDefault="00704A1A" w:rsidP="00F85F27">
            <w:pPr>
              <w:spacing w:before="40" w:after="40" w:line="240" w:lineRule="auto"/>
              <w:jc w:val="center"/>
              <w:rPr>
                <w:rFonts w:cs="Arial"/>
              </w:rPr>
            </w:pPr>
            <w:r w:rsidRPr="006C2FF6">
              <w:rPr>
                <w:rFonts w:cs="Arial"/>
              </w:rPr>
              <w:t>2</w:t>
            </w:r>
          </w:p>
        </w:tc>
        <w:tc>
          <w:tcPr>
            <w:tcW w:w="2388" w:type="dxa"/>
          </w:tcPr>
          <w:p w14:paraId="4A1CAE63" w14:textId="77777777" w:rsidR="000F7803" w:rsidRPr="006C2FF6" w:rsidRDefault="000F7803" w:rsidP="00F85F27">
            <w:pPr>
              <w:spacing w:before="40" w:after="40" w:line="240" w:lineRule="auto"/>
              <w:rPr>
                <w:rFonts w:cs="Arial"/>
              </w:rPr>
            </w:pPr>
            <w:r w:rsidRPr="006C2FF6">
              <w:rPr>
                <w:rFonts w:cs="Arial"/>
              </w:rPr>
              <w:t>Tina Thorne</w:t>
            </w:r>
          </w:p>
          <w:p w14:paraId="495AE534" w14:textId="77777777" w:rsidR="000F7803" w:rsidRPr="006C2FF6" w:rsidRDefault="000F7803" w:rsidP="00F85F27">
            <w:pPr>
              <w:spacing w:before="40" w:after="40" w:line="240" w:lineRule="auto"/>
              <w:rPr>
                <w:rFonts w:cs="Arial"/>
              </w:rPr>
            </w:pPr>
            <w:r w:rsidRPr="006C2FF6">
              <w:rPr>
                <w:rFonts w:cs="Arial"/>
              </w:rPr>
              <w:t>Rebecca Heath (DAFWA)</w:t>
            </w:r>
          </w:p>
        </w:tc>
      </w:tr>
      <w:tr w:rsidR="000F7803" w:rsidRPr="006C2FF6" w14:paraId="0EE553A1" w14:textId="77777777" w:rsidTr="007814E2">
        <w:trPr>
          <w:cantSplit/>
        </w:trPr>
        <w:tc>
          <w:tcPr>
            <w:tcW w:w="1951" w:type="dxa"/>
            <w:shd w:val="clear" w:color="auto" w:fill="F2F2F2" w:themeFill="background1" w:themeFillShade="F2"/>
          </w:tcPr>
          <w:p w14:paraId="125AC27E" w14:textId="77777777" w:rsidR="000F7803" w:rsidRPr="006C2FF6" w:rsidRDefault="000F7803" w:rsidP="00F85F27">
            <w:pPr>
              <w:spacing w:before="40" w:after="40" w:line="240" w:lineRule="auto"/>
              <w:rPr>
                <w:rFonts w:cs="Arial"/>
              </w:rPr>
            </w:pPr>
            <w:r w:rsidRPr="006C2FF6">
              <w:rPr>
                <w:rFonts w:cs="Arial"/>
              </w:rPr>
              <w:t>15 April 2014</w:t>
            </w:r>
          </w:p>
        </w:tc>
        <w:tc>
          <w:tcPr>
            <w:tcW w:w="3260" w:type="dxa"/>
            <w:shd w:val="clear" w:color="auto" w:fill="F2F2F2" w:themeFill="background1" w:themeFillShade="F2"/>
          </w:tcPr>
          <w:p w14:paraId="3EE42700" w14:textId="77777777" w:rsidR="000F7803" w:rsidRPr="006C2FF6" w:rsidRDefault="000F7803" w:rsidP="00F85F27">
            <w:pPr>
              <w:spacing w:before="40" w:after="40" w:line="240" w:lineRule="auto"/>
              <w:rPr>
                <w:rFonts w:cs="Arial"/>
              </w:rPr>
            </w:pPr>
            <w:r w:rsidRPr="006C2FF6">
              <w:rPr>
                <w:rFonts w:cs="Arial"/>
              </w:rPr>
              <w:t>Department of Agriculture and Food</w:t>
            </w:r>
          </w:p>
        </w:tc>
        <w:tc>
          <w:tcPr>
            <w:tcW w:w="1977" w:type="dxa"/>
            <w:shd w:val="clear" w:color="auto" w:fill="F2F2F2" w:themeFill="background1" w:themeFillShade="F2"/>
          </w:tcPr>
          <w:p w14:paraId="77D231EB" w14:textId="6717494F" w:rsidR="000F7803" w:rsidRPr="006C2FF6" w:rsidRDefault="00704A1A" w:rsidP="00F85F27">
            <w:pPr>
              <w:spacing w:before="40" w:after="40" w:line="240" w:lineRule="auto"/>
              <w:jc w:val="center"/>
              <w:rPr>
                <w:rFonts w:cs="Arial"/>
              </w:rPr>
            </w:pPr>
            <w:r w:rsidRPr="006C2FF6">
              <w:rPr>
                <w:rFonts w:cs="Arial"/>
              </w:rPr>
              <w:t>4</w:t>
            </w:r>
          </w:p>
        </w:tc>
        <w:tc>
          <w:tcPr>
            <w:tcW w:w="2388" w:type="dxa"/>
            <w:shd w:val="clear" w:color="auto" w:fill="F2F2F2" w:themeFill="background1" w:themeFillShade="F2"/>
          </w:tcPr>
          <w:p w14:paraId="55D1EC98" w14:textId="77777777" w:rsidR="000F7803" w:rsidRPr="006C2FF6" w:rsidRDefault="000F7803" w:rsidP="00F85F27">
            <w:pPr>
              <w:spacing w:before="40" w:after="40" w:line="240" w:lineRule="auto"/>
              <w:rPr>
                <w:rFonts w:cs="Arial"/>
              </w:rPr>
            </w:pPr>
            <w:r w:rsidRPr="006C2FF6">
              <w:rPr>
                <w:rFonts w:cs="Arial"/>
              </w:rPr>
              <w:t>David Jarvie</w:t>
            </w:r>
          </w:p>
          <w:p w14:paraId="716E7688" w14:textId="77777777" w:rsidR="000F7803" w:rsidRPr="006C2FF6" w:rsidRDefault="000F7803" w:rsidP="00F85F27">
            <w:pPr>
              <w:spacing w:before="40" w:after="40" w:line="240" w:lineRule="auto"/>
              <w:rPr>
                <w:rFonts w:cs="Arial"/>
              </w:rPr>
            </w:pPr>
            <w:r w:rsidRPr="006C2FF6">
              <w:rPr>
                <w:rFonts w:cs="Arial"/>
              </w:rPr>
              <w:t>Alan Robson</w:t>
            </w:r>
          </w:p>
          <w:p w14:paraId="35C62E27" w14:textId="77777777" w:rsidR="000F7803" w:rsidRPr="006C2FF6" w:rsidRDefault="000F7803" w:rsidP="00F85F27">
            <w:pPr>
              <w:spacing w:before="40" w:after="40" w:line="240" w:lineRule="auto"/>
              <w:rPr>
                <w:rFonts w:cs="Arial"/>
              </w:rPr>
            </w:pPr>
            <w:r w:rsidRPr="006C2FF6">
              <w:rPr>
                <w:rFonts w:cs="Arial"/>
              </w:rPr>
              <w:t>Alison Wilson (DAFWA)</w:t>
            </w:r>
          </w:p>
        </w:tc>
      </w:tr>
      <w:tr w:rsidR="000F7803" w:rsidRPr="006C2FF6" w14:paraId="054CEB19" w14:textId="77777777" w:rsidTr="007814E2">
        <w:trPr>
          <w:cantSplit/>
        </w:trPr>
        <w:tc>
          <w:tcPr>
            <w:tcW w:w="1951" w:type="dxa"/>
          </w:tcPr>
          <w:p w14:paraId="0EC60994" w14:textId="77777777" w:rsidR="000F7803" w:rsidRPr="006C2FF6" w:rsidRDefault="000F7803" w:rsidP="00F85F27">
            <w:pPr>
              <w:spacing w:before="40" w:after="40" w:line="240" w:lineRule="auto"/>
              <w:rPr>
                <w:rFonts w:cs="Arial"/>
              </w:rPr>
            </w:pPr>
            <w:r w:rsidRPr="006C2FF6">
              <w:rPr>
                <w:rFonts w:cs="Arial"/>
              </w:rPr>
              <w:t>24 April 2014</w:t>
            </w:r>
          </w:p>
        </w:tc>
        <w:tc>
          <w:tcPr>
            <w:tcW w:w="3260" w:type="dxa"/>
          </w:tcPr>
          <w:p w14:paraId="5E6A2E2F" w14:textId="77777777" w:rsidR="000F7803" w:rsidRPr="006C2FF6" w:rsidRDefault="000F7803" w:rsidP="00F85F27">
            <w:pPr>
              <w:spacing w:before="40" w:after="40" w:line="240" w:lineRule="auto"/>
              <w:rPr>
                <w:rFonts w:cs="Arial"/>
              </w:rPr>
            </w:pPr>
            <w:r w:rsidRPr="006C2FF6">
              <w:rPr>
                <w:rFonts w:cs="Arial"/>
              </w:rPr>
              <w:t>Forestry Industry Federation of WA</w:t>
            </w:r>
          </w:p>
        </w:tc>
        <w:tc>
          <w:tcPr>
            <w:tcW w:w="1977" w:type="dxa"/>
          </w:tcPr>
          <w:p w14:paraId="7BF00C6A" w14:textId="39B3DAC9" w:rsidR="000F7803" w:rsidRPr="006C2FF6" w:rsidRDefault="00704A1A" w:rsidP="00F85F27">
            <w:pPr>
              <w:jc w:val="center"/>
              <w:rPr>
                <w:rFonts w:cs="Arial"/>
              </w:rPr>
            </w:pPr>
            <w:r w:rsidRPr="006C2FF6">
              <w:rPr>
                <w:rFonts w:cs="Arial"/>
              </w:rPr>
              <w:t>7</w:t>
            </w:r>
          </w:p>
        </w:tc>
        <w:tc>
          <w:tcPr>
            <w:tcW w:w="2388" w:type="dxa"/>
          </w:tcPr>
          <w:p w14:paraId="431927DB" w14:textId="77777777" w:rsidR="000F7803" w:rsidRPr="006C2FF6" w:rsidRDefault="000F7803" w:rsidP="00F85F27">
            <w:pPr>
              <w:spacing w:before="40" w:after="40" w:line="240" w:lineRule="auto"/>
              <w:rPr>
                <w:rFonts w:cs="Arial"/>
              </w:rPr>
            </w:pPr>
            <w:r w:rsidRPr="006C2FF6">
              <w:rPr>
                <w:rFonts w:cs="Arial"/>
              </w:rPr>
              <w:t>Kevin Goss</w:t>
            </w:r>
          </w:p>
          <w:p w14:paraId="371AE562" w14:textId="77777777" w:rsidR="000F7803" w:rsidRPr="006C2FF6" w:rsidRDefault="000F7803" w:rsidP="00F85F27">
            <w:pPr>
              <w:spacing w:before="40" w:after="40" w:line="240" w:lineRule="auto"/>
              <w:rPr>
                <w:rFonts w:cs="Arial"/>
              </w:rPr>
            </w:pPr>
            <w:r w:rsidRPr="006C2FF6">
              <w:rPr>
                <w:rFonts w:cs="Arial"/>
              </w:rPr>
              <w:t>Tina Thorne</w:t>
            </w:r>
          </w:p>
          <w:p w14:paraId="1DDEBEDD" w14:textId="77777777" w:rsidR="000F7803" w:rsidRPr="006C2FF6" w:rsidRDefault="000F7803" w:rsidP="00F85F27">
            <w:pPr>
              <w:spacing w:before="40" w:after="40" w:line="240" w:lineRule="auto"/>
              <w:rPr>
                <w:rFonts w:cs="Arial"/>
              </w:rPr>
            </w:pPr>
            <w:r w:rsidRPr="006C2FF6">
              <w:rPr>
                <w:rFonts w:cs="Arial"/>
              </w:rPr>
              <w:t>Rebecca Heath (DAFWA)</w:t>
            </w:r>
          </w:p>
        </w:tc>
      </w:tr>
      <w:tr w:rsidR="000F7803" w:rsidRPr="006C2FF6" w14:paraId="2A278258" w14:textId="77777777" w:rsidTr="007814E2">
        <w:trPr>
          <w:cantSplit/>
        </w:trPr>
        <w:tc>
          <w:tcPr>
            <w:tcW w:w="1951" w:type="dxa"/>
            <w:shd w:val="clear" w:color="auto" w:fill="F2F2F2" w:themeFill="background1" w:themeFillShade="F2"/>
          </w:tcPr>
          <w:p w14:paraId="72E3C425" w14:textId="77777777" w:rsidR="000F7803" w:rsidRPr="006C2FF6" w:rsidRDefault="000F7803" w:rsidP="00F85F27">
            <w:pPr>
              <w:spacing w:before="40" w:after="40" w:line="240" w:lineRule="auto"/>
              <w:rPr>
                <w:rFonts w:cs="Arial"/>
              </w:rPr>
            </w:pPr>
            <w:r w:rsidRPr="006C2FF6">
              <w:rPr>
                <w:rFonts w:cs="Arial"/>
              </w:rPr>
              <w:t>29 April 2014</w:t>
            </w:r>
          </w:p>
        </w:tc>
        <w:tc>
          <w:tcPr>
            <w:tcW w:w="3260" w:type="dxa"/>
            <w:shd w:val="clear" w:color="auto" w:fill="F2F2F2" w:themeFill="background1" w:themeFillShade="F2"/>
          </w:tcPr>
          <w:p w14:paraId="26E8A3C6" w14:textId="77777777" w:rsidR="000F7803" w:rsidRPr="006C2FF6" w:rsidRDefault="000F7803" w:rsidP="00F85F27">
            <w:pPr>
              <w:spacing w:before="40" w:after="40" w:line="240" w:lineRule="auto"/>
              <w:rPr>
                <w:rFonts w:cs="Arial"/>
              </w:rPr>
            </w:pPr>
            <w:r w:rsidRPr="006C2FF6">
              <w:rPr>
                <w:rFonts w:cs="Arial"/>
              </w:rPr>
              <w:t>World Wildlife Fund</w:t>
            </w:r>
          </w:p>
        </w:tc>
        <w:tc>
          <w:tcPr>
            <w:tcW w:w="1977" w:type="dxa"/>
            <w:shd w:val="clear" w:color="auto" w:fill="F2F2F2" w:themeFill="background1" w:themeFillShade="F2"/>
          </w:tcPr>
          <w:p w14:paraId="45DF9ECC" w14:textId="135832E9" w:rsidR="000F7803" w:rsidRPr="006C2FF6" w:rsidRDefault="00704A1A" w:rsidP="00F85F27">
            <w:pPr>
              <w:spacing w:before="40" w:after="40" w:line="240" w:lineRule="auto"/>
              <w:jc w:val="center"/>
              <w:rPr>
                <w:rFonts w:cs="Arial"/>
              </w:rPr>
            </w:pPr>
            <w:r w:rsidRPr="006C2FF6">
              <w:rPr>
                <w:rFonts w:cs="Arial"/>
              </w:rPr>
              <w:t>1</w:t>
            </w:r>
          </w:p>
        </w:tc>
        <w:tc>
          <w:tcPr>
            <w:tcW w:w="2388" w:type="dxa"/>
            <w:shd w:val="clear" w:color="auto" w:fill="F2F2F2" w:themeFill="background1" w:themeFillShade="F2"/>
          </w:tcPr>
          <w:p w14:paraId="2EDBD6F8" w14:textId="77777777" w:rsidR="000F7803" w:rsidRPr="006C2FF6" w:rsidRDefault="000F7803" w:rsidP="00F85F27">
            <w:pPr>
              <w:spacing w:before="40" w:after="40" w:line="240" w:lineRule="auto"/>
              <w:rPr>
                <w:rFonts w:cs="Arial"/>
              </w:rPr>
            </w:pPr>
            <w:r w:rsidRPr="006C2FF6">
              <w:rPr>
                <w:rFonts w:cs="Arial"/>
              </w:rPr>
              <w:t>Simon McKirdy</w:t>
            </w:r>
          </w:p>
          <w:p w14:paraId="42D2C049" w14:textId="77777777" w:rsidR="000F7803" w:rsidRPr="006C2FF6" w:rsidRDefault="000F7803" w:rsidP="00F85F27">
            <w:pPr>
              <w:spacing w:before="40" w:after="40" w:line="240" w:lineRule="auto"/>
              <w:rPr>
                <w:rFonts w:cs="Arial"/>
              </w:rPr>
            </w:pPr>
            <w:r w:rsidRPr="006C2FF6">
              <w:rPr>
                <w:rFonts w:cs="Arial"/>
              </w:rPr>
              <w:t>Alison Wilson (DAFWA)</w:t>
            </w:r>
          </w:p>
        </w:tc>
      </w:tr>
      <w:tr w:rsidR="000F7803" w:rsidRPr="006C2FF6" w14:paraId="375A2AEA" w14:textId="77777777" w:rsidTr="007814E2">
        <w:trPr>
          <w:cantSplit/>
        </w:trPr>
        <w:tc>
          <w:tcPr>
            <w:tcW w:w="1951" w:type="dxa"/>
          </w:tcPr>
          <w:p w14:paraId="48C02AEE" w14:textId="77777777" w:rsidR="000F7803" w:rsidRPr="006C2FF6" w:rsidRDefault="000F7803" w:rsidP="00F85F27">
            <w:pPr>
              <w:spacing w:before="40" w:after="40" w:line="240" w:lineRule="auto"/>
              <w:rPr>
                <w:rFonts w:cs="Arial"/>
              </w:rPr>
            </w:pPr>
            <w:r w:rsidRPr="006C2FF6">
              <w:rPr>
                <w:rFonts w:cs="Arial"/>
              </w:rPr>
              <w:t>30 April 2014</w:t>
            </w:r>
          </w:p>
        </w:tc>
        <w:tc>
          <w:tcPr>
            <w:tcW w:w="3260" w:type="dxa"/>
          </w:tcPr>
          <w:p w14:paraId="0F3BD8D0" w14:textId="77777777" w:rsidR="000F7803" w:rsidRPr="006C2FF6" w:rsidRDefault="000F7803" w:rsidP="00F85F27">
            <w:pPr>
              <w:spacing w:before="40" w:after="40" w:line="240" w:lineRule="auto"/>
              <w:rPr>
                <w:rFonts w:cs="Arial"/>
              </w:rPr>
            </w:pPr>
            <w:r w:rsidRPr="006C2FF6">
              <w:rPr>
                <w:rFonts w:cs="Arial"/>
              </w:rPr>
              <w:t>Sheep and Goats IMC</w:t>
            </w:r>
          </w:p>
        </w:tc>
        <w:tc>
          <w:tcPr>
            <w:tcW w:w="1977" w:type="dxa"/>
          </w:tcPr>
          <w:p w14:paraId="2A39FAB4" w14:textId="2BAFB442" w:rsidR="000F7803" w:rsidRPr="006C2FF6" w:rsidRDefault="00704A1A" w:rsidP="00F85F27">
            <w:pPr>
              <w:spacing w:before="40" w:after="40" w:line="240" w:lineRule="auto"/>
              <w:jc w:val="center"/>
              <w:rPr>
                <w:rFonts w:cs="Arial"/>
              </w:rPr>
            </w:pPr>
            <w:r w:rsidRPr="006C2FF6">
              <w:rPr>
                <w:rFonts w:cs="Arial"/>
              </w:rPr>
              <w:t>4</w:t>
            </w:r>
          </w:p>
        </w:tc>
        <w:tc>
          <w:tcPr>
            <w:tcW w:w="2388" w:type="dxa"/>
          </w:tcPr>
          <w:p w14:paraId="0D53A42F" w14:textId="77777777" w:rsidR="000F7803" w:rsidRPr="006C2FF6" w:rsidRDefault="000F7803" w:rsidP="00F85F27">
            <w:pPr>
              <w:spacing w:before="40" w:after="40" w:line="240" w:lineRule="auto"/>
              <w:rPr>
                <w:rFonts w:cs="Arial"/>
              </w:rPr>
            </w:pPr>
            <w:r w:rsidRPr="006C2FF6">
              <w:rPr>
                <w:rFonts w:cs="Arial"/>
              </w:rPr>
              <w:t>Michelle Allen</w:t>
            </w:r>
          </w:p>
          <w:p w14:paraId="5CCE5BEA" w14:textId="77777777" w:rsidR="000F7803" w:rsidRPr="006C2FF6" w:rsidRDefault="000F7803" w:rsidP="00F85F27">
            <w:pPr>
              <w:spacing w:before="40" w:after="40" w:line="240" w:lineRule="auto"/>
              <w:rPr>
                <w:rFonts w:cs="Arial"/>
              </w:rPr>
            </w:pPr>
            <w:r w:rsidRPr="006C2FF6">
              <w:rPr>
                <w:rFonts w:cs="Arial"/>
              </w:rPr>
              <w:t>David Jarvie</w:t>
            </w:r>
          </w:p>
          <w:p w14:paraId="73A90CBA" w14:textId="77777777" w:rsidR="000F7803" w:rsidRPr="006C2FF6" w:rsidRDefault="000F7803" w:rsidP="00F85F27">
            <w:pPr>
              <w:spacing w:before="40" w:after="40" w:line="240" w:lineRule="auto"/>
              <w:rPr>
                <w:rFonts w:cs="Arial"/>
              </w:rPr>
            </w:pPr>
            <w:r w:rsidRPr="006C2FF6">
              <w:rPr>
                <w:rFonts w:cs="Arial"/>
              </w:rPr>
              <w:t>Rebecca Heath (DAFWA)</w:t>
            </w:r>
          </w:p>
        </w:tc>
      </w:tr>
      <w:tr w:rsidR="000F7803" w:rsidRPr="006C2FF6" w14:paraId="5875F4DA" w14:textId="77777777" w:rsidTr="007814E2">
        <w:trPr>
          <w:cantSplit/>
        </w:trPr>
        <w:tc>
          <w:tcPr>
            <w:tcW w:w="1951" w:type="dxa"/>
            <w:shd w:val="clear" w:color="auto" w:fill="F2F2F2" w:themeFill="background1" w:themeFillShade="F2"/>
          </w:tcPr>
          <w:p w14:paraId="192D29DA" w14:textId="77777777" w:rsidR="000F7803" w:rsidRPr="006C2FF6" w:rsidRDefault="000F7803" w:rsidP="00F85F27">
            <w:pPr>
              <w:spacing w:before="40" w:after="40" w:line="240" w:lineRule="auto"/>
              <w:rPr>
                <w:rFonts w:cs="Arial"/>
              </w:rPr>
            </w:pPr>
            <w:r w:rsidRPr="006C2FF6">
              <w:rPr>
                <w:rFonts w:cs="Arial"/>
              </w:rPr>
              <w:t>2 May 2014</w:t>
            </w:r>
          </w:p>
        </w:tc>
        <w:tc>
          <w:tcPr>
            <w:tcW w:w="3260" w:type="dxa"/>
            <w:shd w:val="clear" w:color="auto" w:fill="F2F2F2" w:themeFill="background1" w:themeFillShade="F2"/>
          </w:tcPr>
          <w:p w14:paraId="74AB57AD" w14:textId="77777777" w:rsidR="000F7803" w:rsidRPr="006C2FF6" w:rsidRDefault="000F7803" w:rsidP="00F85F27">
            <w:pPr>
              <w:spacing w:before="40" w:after="40" w:line="240" w:lineRule="auto"/>
              <w:rPr>
                <w:rFonts w:cs="Arial"/>
              </w:rPr>
            </w:pPr>
            <w:r w:rsidRPr="006C2FF6">
              <w:rPr>
                <w:rFonts w:cs="Arial"/>
              </w:rPr>
              <w:t>Department of Parks and Wildlife</w:t>
            </w:r>
          </w:p>
        </w:tc>
        <w:tc>
          <w:tcPr>
            <w:tcW w:w="1977" w:type="dxa"/>
            <w:shd w:val="clear" w:color="auto" w:fill="F2F2F2" w:themeFill="background1" w:themeFillShade="F2"/>
          </w:tcPr>
          <w:p w14:paraId="3E071BCE" w14:textId="32B13CD5" w:rsidR="000F7803" w:rsidRPr="006C2FF6" w:rsidRDefault="00704A1A" w:rsidP="00F85F27">
            <w:pPr>
              <w:spacing w:before="40" w:after="40" w:line="240" w:lineRule="auto"/>
              <w:jc w:val="center"/>
              <w:rPr>
                <w:rFonts w:cs="Arial"/>
              </w:rPr>
            </w:pPr>
            <w:r w:rsidRPr="006C2FF6">
              <w:rPr>
                <w:rFonts w:cs="Arial"/>
              </w:rPr>
              <w:t>2</w:t>
            </w:r>
          </w:p>
        </w:tc>
        <w:tc>
          <w:tcPr>
            <w:tcW w:w="2388" w:type="dxa"/>
            <w:shd w:val="clear" w:color="auto" w:fill="F2F2F2" w:themeFill="background1" w:themeFillShade="F2"/>
          </w:tcPr>
          <w:p w14:paraId="31C2740C" w14:textId="77777777" w:rsidR="000F7803" w:rsidRPr="006C2FF6" w:rsidRDefault="000F7803" w:rsidP="00F85F27">
            <w:pPr>
              <w:spacing w:before="40" w:after="40" w:line="240" w:lineRule="auto"/>
              <w:rPr>
                <w:rFonts w:cs="Arial"/>
              </w:rPr>
            </w:pPr>
            <w:r w:rsidRPr="006C2FF6">
              <w:rPr>
                <w:rFonts w:cs="Arial"/>
              </w:rPr>
              <w:t>Kevin Goss</w:t>
            </w:r>
          </w:p>
          <w:p w14:paraId="0BEAAB68" w14:textId="77777777" w:rsidR="000F7803" w:rsidRPr="006C2FF6" w:rsidRDefault="000F7803" w:rsidP="00F85F27">
            <w:pPr>
              <w:spacing w:before="40" w:after="40" w:line="240" w:lineRule="auto"/>
              <w:rPr>
                <w:rFonts w:cs="Arial"/>
              </w:rPr>
            </w:pPr>
            <w:r w:rsidRPr="006C2FF6">
              <w:rPr>
                <w:rFonts w:cs="Arial"/>
              </w:rPr>
              <w:t>Simon McKirdy</w:t>
            </w:r>
          </w:p>
          <w:p w14:paraId="44BE6D5A" w14:textId="77777777" w:rsidR="000F7803" w:rsidRPr="006C2FF6" w:rsidRDefault="000F7803" w:rsidP="00F85F27">
            <w:pPr>
              <w:spacing w:before="40" w:after="40" w:line="240" w:lineRule="auto"/>
              <w:rPr>
                <w:rFonts w:cs="Arial"/>
              </w:rPr>
            </w:pPr>
            <w:r w:rsidRPr="006C2FF6">
              <w:rPr>
                <w:rFonts w:cs="Arial"/>
              </w:rPr>
              <w:t>Rebecca Heath (DAFWA)</w:t>
            </w:r>
          </w:p>
        </w:tc>
      </w:tr>
      <w:tr w:rsidR="000F7803" w:rsidRPr="006C2FF6" w14:paraId="63EDE3F7" w14:textId="77777777" w:rsidTr="007814E2">
        <w:trPr>
          <w:cantSplit/>
        </w:trPr>
        <w:tc>
          <w:tcPr>
            <w:tcW w:w="1951" w:type="dxa"/>
          </w:tcPr>
          <w:p w14:paraId="403F4342" w14:textId="77777777" w:rsidR="000F7803" w:rsidRPr="006C2FF6" w:rsidRDefault="000F7803" w:rsidP="00F85F27">
            <w:pPr>
              <w:spacing w:before="40" w:after="40" w:line="240" w:lineRule="auto"/>
              <w:rPr>
                <w:rFonts w:cs="Arial"/>
              </w:rPr>
            </w:pPr>
            <w:r w:rsidRPr="006C2FF6">
              <w:rPr>
                <w:rFonts w:cs="Arial"/>
              </w:rPr>
              <w:t>6 May 2014</w:t>
            </w:r>
          </w:p>
        </w:tc>
        <w:tc>
          <w:tcPr>
            <w:tcW w:w="3260" w:type="dxa"/>
          </w:tcPr>
          <w:p w14:paraId="560422AD" w14:textId="77777777" w:rsidR="000F7803" w:rsidRPr="006C2FF6" w:rsidRDefault="000F7803" w:rsidP="00F85F27">
            <w:pPr>
              <w:spacing w:before="40" w:after="40" w:line="240" w:lineRule="auto"/>
              <w:rPr>
                <w:rFonts w:cs="Arial"/>
              </w:rPr>
            </w:pPr>
            <w:r w:rsidRPr="006C2FF6">
              <w:rPr>
                <w:rFonts w:cs="Arial"/>
              </w:rPr>
              <w:t>Forest Products Commission</w:t>
            </w:r>
          </w:p>
        </w:tc>
        <w:tc>
          <w:tcPr>
            <w:tcW w:w="1977" w:type="dxa"/>
          </w:tcPr>
          <w:p w14:paraId="3038B7BF" w14:textId="20AEBF1F" w:rsidR="000F7803" w:rsidRPr="006C2FF6" w:rsidRDefault="00704A1A" w:rsidP="00F85F27">
            <w:pPr>
              <w:spacing w:before="40" w:after="40" w:line="240" w:lineRule="auto"/>
              <w:jc w:val="center"/>
              <w:rPr>
                <w:rFonts w:cs="Arial"/>
              </w:rPr>
            </w:pPr>
            <w:r w:rsidRPr="006C2FF6">
              <w:rPr>
                <w:rFonts w:cs="Arial"/>
              </w:rPr>
              <w:t>2</w:t>
            </w:r>
          </w:p>
        </w:tc>
        <w:tc>
          <w:tcPr>
            <w:tcW w:w="2388" w:type="dxa"/>
          </w:tcPr>
          <w:p w14:paraId="0AEDE159" w14:textId="77777777" w:rsidR="000F7803" w:rsidRPr="006C2FF6" w:rsidRDefault="000F7803" w:rsidP="00F85F27">
            <w:pPr>
              <w:spacing w:before="40" w:after="40" w:line="240" w:lineRule="auto"/>
              <w:rPr>
                <w:rFonts w:cs="Arial"/>
              </w:rPr>
            </w:pPr>
            <w:r w:rsidRPr="006C2FF6">
              <w:rPr>
                <w:rFonts w:cs="Arial"/>
              </w:rPr>
              <w:t>Kevin Goss</w:t>
            </w:r>
          </w:p>
          <w:p w14:paraId="62EAC755" w14:textId="77777777" w:rsidR="000F7803" w:rsidRPr="006C2FF6" w:rsidRDefault="000F7803" w:rsidP="00F85F27">
            <w:pPr>
              <w:spacing w:before="40" w:after="40" w:line="240" w:lineRule="auto"/>
              <w:rPr>
                <w:rFonts w:cs="Arial"/>
              </w:rPr>
            </w:pPr>
            <w:r w:rsidRPr="006C2FF6">
              <w:rPr>
                <w:rFonts w:cs="Arial"/>
              </w:rPr>
              <w:t>Alison Wilson (DAFWA)</w:t>
            </w:r>
          </w:p>
        </w:tc>
      </w:tr>
    </w:tbl>
    <w:p w14:paraId="5477763E" w14:textId="77777777" w:rsidR="00704A1A" w:rsidRPr="00A07C28" w:rsidRDefault="00704A1A" w:rsidP="00A07C28"/>
    <w:p w14:paraId="006C9F20" w14:textId="77777777" w:rsidR="00D30F5F" w:rsidRDefault="00D30F5F">
      <w:pPr>
        <w:spacing w:before="0" w:line="240" w:lineRule="auto"/>
        <w:jc w:val="center"/>
        <w:rPr>
          <w:rFonts w:eastAsiaTheme="majorEastAsia" w:cstheme="majorBidi"/>
          <w:b/>
          <w:bCs/>
        </w:rPr>
      </w:pPr>
      <w:bookmarkStart w:id="9" w:name="_Toc411452989"/>
      <w:r>
        <w:br w:type="page"/>
      </w:r>
    </w:p>
    <w:p w14:paraId="384F5DA3" w14:textId="51F35E11" w:rsidR="00A72F76" w:rsidRDefault="00A72F76" w:rsidP="00A86CFE">
      <w:pPr>
        <w:pStyle w:val="Heading3"/>
      </w:pPr>
      <w:r>
        <w:lastRenderedPageBreak/>
        <w:t>Analysis</w:t>
      </w:r>
      <w:bookmarkEnd w:id="9"/>
    </w:p>
    <w:p w14:paraId="57C80710" w14:textId="77777777" w:rsidR="00A72F76" w:rsidRDefault="00A72F76" w:rsidP="00F85F27">
      <w:pPr>
        <w:rPr>
          <w:rFonts w:cs="Arial"/>
          <w:szCs w:val="20"/>
        </w:rPr>
      </w:pPr>
      <w:r>
        <w:rPr>
          <w:rFonts w:cs="Arial"/>
          <w:szCs w:val="20"/>
        </w:rPr>
        <w:t>The digital recordings were transcribed and independently read then re-read by the three members of the working group. The team then identified the key themes and issues, based on the original objectives, from the discussion transcripts. Transcripts were imported into N-Vivo (a qualitative analysis software program) and coded according to the key themes and issues. The data were summarised and interpreted by the team, and associations between the themes were explored.</w:t>
      </w:r>
    </w:p>
    <w:p w14:paraId="0533DAFE" w14:textId="77777777" w:rsidR="00A72F76" w:rsidRDefault="00A72F76" w:rsidP="00F97828">
      <w:pPr>
        <w:pStyle w:val="Heading2"/>
      </w:pPr>
      <w:bookmarkStart w:id="10" w:name="_Toc411452990"/>
      <w:r>
        <w:t>Phase 2 – online survey</w:t>
      </w:r>
      <w:bookmarkEnd w:id="10"/>
    </w:p>
    <w:p w14:paraId="3164E38B" w14:textId="77777777" w:rsidR="00A72F76" w:rsidRPr="00A86CFE" w:rsidRDefault="00A72F76" w:rsidP="00A86CFE">
      <w:pPr>
        <w:pStyle w:val="Heading3"/>
      </w:pPr>
      <w:bookmarkStart w:id="11" w:name="_Toc411452991"/>
      <w:r w:rsidRPr="00A86CFE">
        <w:t>Data collection</w:t>
      </w:r>
      <w:bookmarkEnd w:id="11"/>
    </w:p>
    <w:p w14:paraId="067A17DA" w14:textId="77777777" w:rsidR="00A72F76" w:rsidRDefault="00A72F76" w:rsidP="00F85F27">
      <w:pPr>
        <w:rPr>
          <w:rFonts w:cs="Arial"/>
          <w:szCs w:val="20"/>
        </w:rPr>
      </w:pPr>
      <w:r>
        <w:rPr>
          <w:rFonts w:cs="Arial"/>
          <w:szCs w:val="20"/>
        </w:rPr>
        <w:t>A questionnaire was developed based on the information collected during phase 1 of the stak</w:t>
      </w:r>
      <w:r w:rsidR="0096764A">
        <w:rPr>
          <w:rFonts w:cs="Arial"/>
          <w:szCs w:val="20"/>
        </w:rPr>
        <w:t>eholder consultation (Appendix 2</w:t>
      </w:r>
      <w:r>
        <w:rPr>
          <w:rFonts w:cs="Arial"/>
          <w:szCs w:val="20"/>
        </w:rPr>
        <w:t>). The survey questions were piloted with the ‘collaborate’ stakeholders, and changes made based on their feedback. There were five key sections of the questionnaire:</w:t>
      </w:r>
    </w:p>
    <w:p w14:paraId="14F1BD32" w14:textId="695B2F34" w:rsidR="00A72F76" w:rsidRDefault="001C6E68" w:rsidP="00E36846">
      <w:pPr>
        <w:pStyle w:val="ListParagraph"/>
        <w:numPr>
          <w:ilvl w:val="0"/>
          <w:numId w:val="27"/>
        </w:numPr>
      </w:pPr>
      <w:r>
        <w:t>Demographics – sector</w:t>
      </w:r>
      <w:r w:rsidR="00A72F76">
        <w:t>/</w:t>
      </w:r>
      <w:r>
        <w:t>industry/area of government/</w:t>
      </w:r>
      <w:r w:rsidR="00A72F76">
        <w:t>role within the community (as appropriate)</w:t>
      </w:r>
    </w:p>
    <w:p w14:paraId="18F3E715" w14:textId="77777777" w:rsidR="00A72F76" w:rsidRDefault="00A72F76" w:rsidP="00E36846">
      <w:pPr>
        <w:pStyle w:val="ListParagraph"/>
        <w:numPr>
          <w:ilvl w:val="0"/>
          <w:numId w:val="27"/>
        </w:numPr>
      </w:pPr>
      <w:r>
        <w:t>Importance of biosecurity</w:t>
      </w:r>
    </w:p>
    <w:p w14:paraId="5FF4C1C8" w14:textId="77777777" w:rsidR="00A72F76" w:rsidRDefault="00A72F76" w:rsidP="00E36846">
      <w:pPr>
        <w:pStyle w:val="ListParagraph"/>
        <w:numPr>
          <w:ilvl w:val="0"/>
          <w:numId w:val="27"/>
        </w:numPr>
      </w:pPr>
      <w:r>
        <w:t>Biosecurity responsibilities</w:t>
      </w:r>
    </w:p>
    <w:p w14:paraId="4BBAF57D" w14:textId="77777777" w:rsidR="00A72F76" w:rsidRDefault="00A72F76" w:rsidP="00E36846">
      <w:pPr>
        <w:pStyle w:val="ListParagraph"/>
        <w:numPr>
          <w:ilvl w:val="0"/>
          <w:numId w:val="27"/>
        </w:numPr>
      </w:pPr>
      <w:r>
        <w:t>Principles</w:t>
      </w:r>
    </w:p>
    <w:p w14:paraId="5E68A276" w14:textId="6A2ECB5C" w:rsidR="00A72F76" w:rsidRPr="00764CE7" w:rsidRDefault="001C6E68" w:rsidP="00E36846">
      <w:pPr>
        <w:pStyle w:val="ListParagraph"/>
        <w:numPr>
          <w:ilvl w:val="0"/>
          <w:numId w:val="27"/>
        </w:numPr>
      </w:pPr>
      <w:r>
        <w:t>Issues/</w:t>
      </w:r>
      <w:r w:rsidR="00A72F76">
        <w:t>barriers</w:t>
      </w:r>
      <w:r>
        <w:t>.</w:t>
      </w:r>
    </w:p>
    <w:p w14:paraId="6F2D71D7" w14:textId="77777777" w:rsidR="00A72F76" w:rsidRDefault="00A72F76" w:rsidP="00F85F27">
      <w:r>
        <w:t>Stakeholders identified at the ‘Involve’ level were sent a formal letter inviting their particip</w:t>
      </w:r>
      <w:r w:rsidR="0096764A">
        <w:t>ation in the survey</w:t>
      </w:r>
      <w:r>
        <w:t>. Stakeholders identified at the ‘Consult’ and ‘Inform’ levels were sent an email invi</w:t>
      </w:r>
      <w:r w:rsidR="0096764A">
        <w:t>tation</w:t>
      </w:r>
      <w:r>
        <w:t>. The ‘collaborate’ stakeholders were also invited to complete the amende</w:t>
      </w:r>
      <w:r w:rsidR="00360827">
        <w:t>d version of the questionnaire.</w:t>
      </w:r>
    </w:p>
    <w:p w14:paraId="3D75314D" w14:textId="77777777" w:rsidR="00360827" w:rsidRDefault="00A72F76" w:rsidP="00F85F27">
      <w:pPr>
        <w:rPr>
          <w:rFonts w:cs="Arial"/>
          <w:szCs w:val="20"/>
        </w:rPr>
      </w:pPr>
      <w:r>
        <w:rPr>
          <w:rFonts w:cs="Arial"/>
          <w:szCs w:val="20"/>
        </w:rPr>
        <w:t>The questionnaire was available online via Survey Monkey, and open for 20 days from 6 June 2014 until 26 June.</w:t>
      </w:r>
    </w:p>
    <w:p w14:paraId="53F13BE6" w14:textId="77777777" w:rsidR="00360827" w:rsidRDefault="00A72F76" w:rsidP="00F85F27">
      <w:r>
        <w:rPr>
          <w:rFonts w:cs="Arial"/>
          <w:szCs w:val="20"/>
        </w:rPr>
        <w:t>A total of 2</w:t>
      </w:r>
      <w:r w:rsidR="00360827">
        <w:rPr>
          <w:rFonts w:cs="Arial"/>
          <w:szCs w:val="20"/>
        </w:rPr>
        <w:t>90</w:t>
      </w:r>
      <w:r>
        <w:rPr>
          <w:rFonts w:cs="Arial"/>
          <w:szCs w:val="20"/>
        </w:rPr>
        <w:t xml:space="preserve"> </w:t>
      </w:r>
      <w:r w:rsidR="00360827">
        <w:t>valid responses were received. Of these, 41% were from industry, 30% from government, 21% from community, 4% from research or educational institutions, and 4% were ‘other’. Figure 2 identifies the composition of industry, government and community respondents. ‘Agriculture’ dominated the responses, with approximately 50% of the total responses from the agricultural sector (industry and government).</w:t>
      </w:r>
    </w:p>
    <w:p w14:paraId="0B22A802" w14:textId="77777777" w:rsidR="00A72F76" w:rsidRPr="00D577C2" w:rsidRDefault="00A72F76" w:rsidP="00A86CFE">
      <w:pPr>
        <w:pStyle w:val="Heading3"/>
      </w:pPr>
      <w:bookmarkStart w:id="12" w:name="_Toc411452992"/>
      <w:r w:rsidRPr="00D577C2">
        <w:t>Analysis</w:t>
      </w:r>
      <w:bookmarkEnd w:id="12"/>
    </w:p>
    <w:p w14:paraId="4B940DAC" w14:textId="77777777" w:rsidR="00A72F76" w:rsidRPr="00267B32" w:rsidRDefault="00A72F76" w:rsidP="00F85F27">
      <w:pPr>
        <w:rPr>
          <w:rFonts w:cs="Arial"/>
          <w:szCs w:val="20"/>
        </w:rPr>
      </w:pPr>
      <w:r w:rsidRPr="00267B32">
        <w:rPr>
          <w:rFonts w:cs="Arial"/>
          <w:szCs w:val="20"/>
        </w:rPr>
        <w:t xml:space="preserve">Responses were screened to remove ineligible responses—that is, </w:t>
      </w:r>
      <w:r>
        <w:rPr>
          <w:rFonts w:cs="Arial"/>
          <w:szCs w:val="20"/>
        </w:rPr>
        <w:t>those</w:t>
      </w:r>
      <w:r w:rsidRPr="00267B32">
        <w:rPr>
          <w:rFonts w:cs="Arial"/>
          <w:szCs w:val="20"/>
        </w:rPr>
        <w:t xml:space="preserve"> </w:t>
      </w:r>
      <w:r>
        <w:rPr>
          <w:rFonts w:cs="Arial"/>
          <w:szCs w:val="20"/>
        </w:rPr>
        <w:t>that did not provide responses to the questions, other than demographic information</w:t>
      </w:r>
      <w:r w:rsidRPr="00267B32">
        <w:rPr>
          <w:rFonts w:cs="Arial"/>
          <w:szCs w:val="20"/>
        </w:rPr>
        <w:t>. Data were analysed using simple frequencies</w:t>
      </w:r>
      <w:r>
        <w:rPr>
          <w:rFonts w:cs="Arial"/>
          <w:szCs w:val="20"/>
        </w:rPr>
        <w:t xml:space="preserve">, </w:t>
      </w:r>
      <w:r w:rsidRPr="00267B32">
        <w:rPr>
          <w:rFonts w:cs="Arial"/>
          <w:szCs w:val="20"/>
        </w:rPr>
        <w:t>cross-tabulations</w:t>
      </w:r>
      <w:r w:rsidR="00D577C2">
        <w:rPr>
          <w:rFonts w:cs="Arial"/>
          <w:szCs w:val="20"/>
        </w:rPr>
        <w:t xml:space="preserve">, </w:t>
      </w:r>
      <w:proofErr w:type="spellStart"/>
      <w:r w:rsidR="00D577C2">
        <w:rPr>
          <w:rFonts w:cs="Arial"/>
          <w:szCs w:val="20"/>
        </w:rPr>
        <w:t>descriptives</w:t>
      </w:r>
      <w:proofErr w:type="spellEnd"/>
      <w:r>
        <w:rPr>
          <w:rFonts w:cs="Arial"/>
          <w:szCs w:val="20"/>
        </w:rPr>
        <w:t xml:space="preserve"> and analysis of variances (ANOVA) using SPSS software.</w:t>
      </w:r>
      <w:r w:rsidR="005A1037" w:rsidRPr="005A1037">
        <w:rPr>
          <w:rFonts w:cs="Arial"/>
          <w:szCs w:val="20"/>
        </w:rPr>
        <w:t xml:space="preserve"> </w:t>
      </w:r>
      <w:r>
        <w:rPr>
          <w:rFonts w:cs="Arial"/>
          <w:szCs w:val="20"/>
        </w:rPr>
        <w:t>Qualitative responses were imported into N-Vivo (a qualitative analysis software program)</w:t>
      </w:r>
      <w:r w:rsidR="00D577C2">
        <w:rPr>
          <w:rFonts w:cs="Arial"/>
          <w:szCs w:val="20"/>
        </w:rPr>
        <w:t>, coded according to key themes and then</w:t>
      </w:r>
      <w:r>
        <w:rPr>
          <w:rFonts w:cs="Arial"/>
          <w:szCs w:val="20"/>
        </w:rPr>
        <w:t xml:space="preserve"> summarised</w:t>
      </w:r>
      <w:r w:rsidRPr="00267B32">
        <w:rPr>
          <w:rFonts w:cs="Arial"/>
          <w:szCs w:val="20"/>
        </w:rPr>
        <w:t>.</w:t>
      </w:r>
    </w:p>
    <w:p w14:paraId="09DD5B20" w14:textId="77777777" w:rsidR="00A72F76" w:rsidRDefault="00A72F76" w:rsidP="00F85F27">
      <w:pPr>
        <w:rPr>
          <w:rFonts w:cs="Arial"/>
          <w:szCs w:val="20"/>
        </w:rPr>
      </w:pPr>
    </w:p>
    <w:p w14:paraId="0BFD93B9" w14:textId="77777777" w:rsidR="00A72F76" w:rsidRDefault="00A72F76" w:rsidP="00F85F27">
      <w:pPr>
        <w:rPr>
          <w:rFonts w:cs="Arial"/>
          <w:szCs w:val="20"/>
        </w:rPr>
      </w:pPr>
    </w:p>
    <w:p w14:paraId="1A18E36C" w14:textId="77777777" w:rsidR="00360827" w:rsidRDefault="00360827" w:rsidP="00F85F27">
      <w:pPr>
        <w:jc w:val="center"/>
      </w:pPr>
      <w:r>
        <w:rPr>
          <w:noProof/>
          <w:lang w:eastAsia="en-AU"/>
        </w:rPr>
        <w:lastRenderedPageBreak/>
        <w:drawing>
          <wp:inline distT="0" distB="0" distL="0" distR="0" wp14:anchorId="5FADDB6B" wp14:editId="23C5EFA7">
            <wp:extent cx="6115050" cy="4152900"/>
            <wp:effectExtent l="0" t="0" r="0" b="0"/>
            <wp:docPr id="1" name="Chart 1" descr="Figure 2. Sectors associated with survey respond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A738422" w14:textId="77777777" w:rsidR="006F66EF" w:rsidRDefault="006F66EF" w:rsidP="00A26311">
      <w:pPr>
        <w:spacing w:beforeLines="20" w:before="48"/>
        <w:ind w:left="992" w:right="1140" w:hanging="992"/>
        <w:jc w:val="center"/>
        <w:rPr>
          <w:b/>
        </w:rPr>
      </w:pPr>
    </w:p>
    <w:p w14:paraId="0FD88A5F" w14:textId="1F0A2B1B" w:rsidR="00974F12" w:rsidRPr="00974F12" w:rsidRDefault="00360827" w:rsidP="00974F12">
      <w:pPr>
        <w:spacing w:beforeLines="20" w:before="48"/>
        <w:ind w:left="633"/>
        <w:rPr>
          <w:i/>
          <w:sz w:val="20"/>
          <w:szCs w:val="20"/>
        </w:rPr>
      </w:pPr>
      <w:proofErr w:type="gramStart"/>
      <w:r>
        <w:rPr>
          <w:b/>
        </w:rPr>
        <w:t>Figure 2</w:t>
      </w:r>
      <w:r w:rsidR="00C25602">
        <w:rPr>
          <w:b/>
        </w:rPr>
        <w:t>.</w:t>
      </w:r>
      <w:proofErr w:type="gramEnd"/>
      <w:r w:rsidRPr="005310A5">
        <w:rPr>
          <w:b/>
        </w:rPr>
        <w:t xml:space="preserve"> </w:t>
      </w:r>
      <w:r>
        <w:rPr>
          <w:b/>
        </w:rPr>
        <w:t>Sectors associated with survey respondents.</w:t>
      </w:r>
      <w:r w:rsidR="00974F12">
        <w:rPr>
          <w:b/>
        </w:rPr>
        <w:t xml:space="preserve"> </w:t>
      </w:r>
      <w:r w:rsidR="00974F12">
        <w:rPr>
          <w:b/>
        </w:rPr>
        <w:br/>
      </w:r>
      <w:r w:rsidR="00974F12">
        <w:rPr>
          <w:i/>
          <w:sz w:val="20"/>
          <w:szCs w:val="20"/>
        </w:rPr>
        <w:t>Note that</w:t>
      </w:r>
      <w:r w:rsidR="00974F12" w:rsidRPr="00974F12">
        <w:rPr>
          <w:i/>
          <w:sz w:val="20"/>
          <w:szCs w:val="20"/>
        </w:rPr>
        <w:t xml:space="preserve"> </w:t>
      </w:r>
    </w:p>
    <w:p w14:paraId="014116B6" w14:textId="77777777" w:rsidR="00974F12" w:rsidRPr="00974F12" w:rsidRDefault="00974F12" w:rsidP="00974F12">
      <w:pPr>
        <w:pStyle w:val="ListParagraph"/>
        <w:numPr>
          <w:ilvl w:val="0"/>
          <w:numId w:val="44"/>
        </w:numPr>
        <w:spacing w:beforeLines="20" w:before="48"/>
        <w:ind w:left="1276"/>
        <w:rPr>
          <w:i/>
          <w:sz w:val="20"/>
          <w:szCs w:val="20"/>
        </w:rPr>
      </w:pPr>
      <w:r w:rsidRPr="00974F12">
        <w:rPr>
          <w:i/>
          <w:sz w:val="20"/>
          <w:szCs w:val="20"/>
        </w:rPr>
        <w:t>‘Other’ industry includes apiculture, multiple industries, poultry, industry association</w:t>
      </w:r>
    </w:p>
    <w:p w14:paraId="3911006F" w14:textId="77777777" w:rsidR="00974F12" w:rsidRPr="00974F12" w:rsidRDefault="00974F12" w:rsidP="00974F12">
      <w:pPr>
        <w:pStyle w:val="ListParagraph"/>
        <w:numPr>
          <w:ilvl w:val="0"/>
          <w:numId w:val="44"/>
        </w:numPr>
        <w:spacing w:before="0"/>
        <w:ind w:left="1276"/>
        <w:rPr>
          <w:i/>
          <w:sz w:val="20"/>
          <w:szCs w:val="20"/>
        </w:rPr>
      </w:pPr>
      <w:r w:rsidRPr="00974F12">
        <w:rPr>
          <w:i/>
          <w:sz w:val="20"/>
          <w:szCs w:val="20"/>
        </w:rPr>
        <w:t>‘Other’ government includes Department of Lands, Department of Water</w:t>
      </w:r>
    </w:p>
    <w:p w14:paraId="5C4A84A1" w14:textId="77777777" w:rsidR="00974F12" w:rsidRPr="00974F12" w:rsidRDefault="00974F12" w:rsidP="00974F12">
      <w:pPr>
        <w:pStyle w:val="ListParagraph"/>
        <w:numPr>
          <w:ilvl w:val="0"/>
          <w:numId w:val="44"/>
        </w:numPr>
        <w:spacing w:before="0"/>
        <w:ind w:left="1276"/>
        <w:rPr>
          <w:i/>
          <w:sz w:val="20"/>
          <w:szCs w:val="20"/>
        </w:rPr>
      </w:pPr>
      <w:r w:rsidRPr="00974F12">
        <w:rPr>
          <w:i/>
          <w:sz w:val="20"/>
          <w:szCs w:val="20"/>
        </w:rPr>
        <w:t>‘Other’ community includes conservation groups, hobbyist</w:t>
      </w:r>
    </w:p>
    <w:p w14:paraId="47D95716" w14:textId="2A295CC4" w:rsidR="00360827" w:rsidRPr="005310A5" w:rsidRDefault="00360827" w:rsidP="00974F12">
      <w:pPr>
        <w:spacing w:beforeLines="20" w:before="48"/>
        <w:ind w:left="992" w:right="-2" w:hanging="992"/>
        <w:jc w:val="center"/>
        <w:rPr>
          <w:b/>
        </w:rPr>
      </w:pPr>
    </w:p>
    <w:p w14:paraId="75A7141B" w14:textId="77777777" w:rsidR="00682717" w:rsidRPr="004C3183" w:rsidRDefault="00D70363" w:rsidP="006440A8">
      <w:pPr>
        <w:pStyle w:val="Heading1"/>
      </w:pPr>
      <w:bookmarkStart w:id="13" w:name="_Toc411452993"/>
      <w:r>
        <w:t>Findings</w:t>
      </w:r>
      <w:bookmarkEnd w:id="13"/>
    </w:p>
    <w:p w14:paraId="25BB588E" w14:textId="77777777" w:rsidR="009D2761" w:rsidRDefault="00F87548" w:rsidP="00F97828">
      <w:pPr>
        <w:pStyle w:val="Heading2"/>
      </w:pPr>
      <w:bookmarkStart w:id="14" w:name="_Toc411452994"/>
      <w:r>
        <w:t>Importance o</w:t>
      </w:r>
      <w:r w:rsidR="00D70363">
        <w:t>f biosecurity</w:t>
      </w:r>
      <w:bookmarkEnd w:id="14"/>
    </w:p>
    <w:p w14:paraId="1F410619" w14:textId="77777777" w:rsidR="00682717" w:rsidRDefault="00EE203A" w:rsidP="00F85F27">
      <w:r>
        <w:t xml:space="preserve">The stakeholder discussions elicited </w:t>
      </w:r>
      <w:r w:rsidR="00360827">
        <w:t xml:space="preserve">the following </w:t>
      </w:r>
      <w:r>
        <w:t>reasons as to why biosecurity is important:</w:t>
      </w:r>
    </w:p>
    <w:p w14:paraId="1C939DA3" w14:textId="77777777" w:rsidR="00EE203A" w:rsidRDefault="005644C2" w:rsidP="00E36846">
      <w:pPr>
        <w:pStyle w:val="ListParagraph"/>
        <w:numPr>
          <w:ilvl w:val="0"/>
          <w:numId w:val="10"/>
        </w:numPr>
      </w:pPr>
      <w:r>
        <w:t>To support the c</w:t>
      </w:r>
      <w:r w:rsidR="008737C8">
        <w:t>ontinu</w:t>
      </w:r>
      <w:r>
        <w:t>ing</w:t>
      </w:r>
      <w:r w:rsidR="008737C8">
        <w:t xml:space="preserve"> viability of industries</w:t>
      </w:r>
    </w:p>
    <w:p w14:paraId="661344AA" w14:textId="77777777" w:rsidR="008737C8" w:rsidRDefault="005644C2" w:rsidP="00E36846">
      <w:pPr>
        <w:pStyle w:val="ListParagraph"/>
        <w:numPr>
          <w:ilvl w:val="0"/>
          <w:numId w:val="10"/>
        </w:numPr>
      </w:pPr>
      <w:r>
        <w:t>To aid the p</w:t>
      </w:r>
      <w:r w:rsidR="008737C8">
        <w:t>reservation of our biodiversity</w:t>
      </w:r>
    </w:p>
    <w:p w14:paraId="0C3E0E6B" w14:textId="77777777" w:rsidR="008737C8" w:rsidRDefault="005644C2" w:rsidP="00E36846">
      <w:pPr>
        <w:pStyle w:val="ListParagraph"/>
        <w:numPr>
          <w:ilvl w:val="0"/>
          <w:numId w:val="10"/>
        </w:numPr>
      </w:pPr>
      <w:r>
        <w:t>To ensure the safety of our f</w:t>
      </w:r>
      <w:r w:rsidR="008737C8">
        <w:t xml:space="preserve">ood </w:t>
      </w:r>
      <w:r>
        <w:t>products</w:t>
      </w:r>
    </w:p>
    <w:p w14:paraId="43BBDE7C" w14:textId="77777777" w:rsidR="008737C8" w:rsidRDefault="005644C2" w:rsidP="00E36846">
      <w:pPr>
        <w:pStyle w:val="ListParagraph"/>
        <w:numPr>
          <w:ilvl w:val="0"/>
          <w:numId w:val="10"/>
        </w:numPr>
      </w:pPr>
      <w:r>
        <w:t>To sustain a</w:t>
      </w:r>
      <w:r w:rsidR="008737C8">
        <w:t>ccess to markets</w:t>
      </w:r>
    </w:p>
    <w:p w14:paraId="19531D0E" w14:textId="77777777" w:rsidR="008737C8" w:rsidRDefault="005644C2" w:rsidP="00E36846">
      <w:pPr>
        <w:pStyle w:val="ListParagraph"/>
        <w:numPr>
          <w:ilvl w:val="0"/>
          <w:numId w:val="10"/>
        </w:numPr>
      </w:pPr>
      <w:r>
        <w:t>To help improve and maintain h</w:t>
      </w:r>
      <w:r w:rsidR="008737C8">
        <w:t>ealthy ecosystems</w:t>
      </w:r>
    </w:p>
    <w:p w14:paraId="248E6C0B" w14:textId="203C70B9" w:rsidR="00854287" w:rsidRDefault="005644C2" w:rsidP="00E36846">
      <w:pPr>
        <w:pStyle w:val="ListParagraph"/>
        <w:numPr>
          <w:ilvl w:val="0"/>
          <w:numId w:val="10"/>
        </w:numPr>
      </w:pPr>
      <w:r>
        <w:t xml:space="preserve">To preserve </w:t>
      </w:r>
      <w:r w:rsidR="008737C8">
        <w:t>our ‘clean and green’ image</w:t>
      </w:r>
      <w:r w:rsidR="001C6E68">
        <w:t>.</w:t>
      </w:r>
    </w:p>
    <w:p w14:paraId="06D3A031" w14:textId="77777777" w:rsidR="004942DA" w:rsidRDefault="00DE0BB8" w:rsidP="00A07C28">
      <w:pPr>
        <w:pStyle w:val="BodyText1"/>
      </w:pPr>
      <w:r>
        <w:t xml:space="preserve">The relative importance of these was quantified via the online survey, whereby respondents were asked to indicate the two most important reasons for effective biosecurity. </w:t>
      </w:r>
      <w:r w:rsidR="00360827">
        <w:t>Two other areas—public health and social amenity—</w:t>
      </w:r>
      <w:r>
        <w:t xml:space="preserve">were included in the </w:t>
      </w:r>
      <w:r w:rsidR="00905552">
        <w:t>questionnaire</w:t>
      </w:r>
      <w:r>
        <w:t xml:space="preserve"> as these are often identified as</w:t>
      </w:r>
      <w:r w:rsidR="00360827">
        <w:t xml:space="preserve"> important outcomes of biosecurity</w:t>
      </w:r>
      <w:r w:rsidR="004B1F90">
        <w:t xml:space="preserve">. </w:t>
      </w:r>
      <w:r>
        <w:t xml:space="preserve">The survey responses are shown in Figure 3. </w:t>
      </w:r>
    </w:p>
    <w:p w14:paraId="7FB52222" w14:textId="77777777" w:rsidR="00A07E54" w:rsidRDefault="00A07E54" w:rsidP="00A07C28">
      <w:pPr>
        <w:pStyle w:val="BodyText1"/>
      </w:pPr>
    </w:p>
    <w:p w14:paraId="62EB643E" w14:textId="54B26D05" w:rsidR="00360827" w:rsidRPr="00DB2386" w:rsidRDefault="00360827" w:rsidP="00974F12">
      <w:pPr>
        <w:jc w:val="center"/>
        <w:rPr>
          <w:b/>
        </w:rPr>
      </w:pPr>
      <w:r w:rsidRPr="00360827">
        <w:rPr>
          <w:noProof/>
          <w:lang w:eastAsia="en-AU"/>
        </w:rPr>
        <w:lastRenderedPageBreak/>
        <w:drawing>
          <wp:inline distT="0" distB="0" distL="0" distR="0" wp14:anchorId="212AD935" wp14:editId="3E1A254C">
            <wp:extent cx="5760000" cy="3348000"/>
            <wp:effectExtent l="0" t="0" r="0" b="5080"/>
            <wp:docPr id="2" name="Chart 2" descr="Figure 3. Survey responses – reasons for effective biosecur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roofErr w:type="gramStart"/>
      <w:r w:rsidR="00DB2386">
        <w:rPr>
          <w:b/>
        </w:rPr>
        <w:t>Fig</w:t>
      </w:r>
      <w:r w:rsidR="00F85F27">
        <w:rPr>
          <w:b/>
        </w:rPr>
        <w:t>ure</w:t>
      </w:r>
      <w:r w:rsidR="00DB2386">
        <w:rPr>
          <w:b/>
        </w:rPr>
        <w:t xml:space="preserve"> 3</w:t>
      </w:r>
      <w:r w:rsidR="00C25602">
        <w:rPr>
          <w:b/>
        </w:rPr>
        <w:t>.</w:t>
      </w:r>
      <w:proofErr w:type="gramEnd"/>
      <w:r w:rsidR="00DB2386">
        <w:rPr>
          <w:b/>
        </w:rPr>
        <w:t xml:space="preserve"> Survey responses – reasons for effective biosecurity</w:t>
      </w:r>
    </w:p>
    <w:p w14:paraId="7B717BF5" w14:textId="77777777" w:rsidR="007A5A73" w:rsidRDefault="007A5A73" w:rsidP="00F85F27"/>
    <w:p w14:paraId="4BAD5340" w14:textId="77777777" w:rsidR="00DB2386" w:rsidRDefault="00007F71" w:rsidP="00A07C28">
      <w:pPr>
        <w:pStyle w:val="BodyText1"/>
      </w:pPr>
      <w:r>
        <w:t>The environment featured as an important reason for biosecurity across all sectors</w:t>
      </w:r>
      <w:r w:rsidR="007A5A73">
        <w:t xml:space="preserve"> (Fig. 3 and Table 2).</w:t>
      </w:r>
    </w:p>
    <w:p w14:paraId="781C6BDF" w14:textId="77777777" w:rsidR="00A86CFE" w:rsidRDefault="00A86CFE" w:rsidP="00A07C28">
      <w:pPr>
        <w:pStyle w:val="BodyText1"/>
      </w:pPr>
    </w:p>
    <w:p w14:paraId="146906E5" w14:textId="408D2D25" w:rsidR="00DB2386" w:rsidRDefault="007A5A73" w:rsidP="006F66EF">
      <w:pPr>
        <w:spacing w:after="200"/>
        <w:ind w:left="1134" w:hanging="1134"/>
        <w:rPr>
          <w:b/>
        </w:rPr>
      </w:pPr>
      <w:r>
        <w:rPr>
          <w:b/>
        </w:rPr>
        <w:t xml:space="preserve">Table 2 </w:t>
      </w:r>
      <w:r w:rsidR="006F66EF">
        <w:rPr>
          <w:b/>
        </w:rPr>
        <w:tab/>
      </w:r>
      <w:r>
        <w:rPr>
          <w:b/>
        </w:rPr>
        <w:t>Survey responses –</w:t>
      </w:r>
      <w:r w:rsidR="00007F71">
        <w:rPr>
          <w:b/>
        </w:rPr>
        <w:t xml:space="preserve"> top two reaso</w:t>
      </w:r>
      <w:r>
        <w:rPr>
          <w:b/>
        </w:rPr>
        <w:t>ns for effective biosecurity.</w:t>
      </w:r>
    </w:p>
    <w:tbl>
      <w:tblPr>
        <w:tblStyle w:val="biosecurity"/>
        <w:tblW w:w="9606" w:type="dxa"/>
        <w:tblLook w:val="04A0" w:firstRow="1" w:lastRow="0" w:firstColumn="1" w:lastColumn="0" w:noHBand="0" w:noVBand="1"/>
        <w:tblDescription w:val="Table 2 - top two reasons for effective biosecurity"/>
      </w:tblPr>
      <w:tblGrid>
        <w:gridCol w:w="1951"/>
        <w:gridCol w:w="3544"/>
        <w:gridCol w:w="2410"/>
        <w:gridCol w:w="1701"/>
      </w:tblGrid>
      <w:tr w:rsidR="00007F71" w:rsidRPr="007814E2" w14:paraId="70E26563" w14:textId="77777777" w:rsidTr="006F66EF">
        <w:trPr>
          <w:cnfStyle w:val="100000000000" w:firstRow="1" w:lastRow="0" w:firstColumn="0" w:lastColumn="0" w:oddVBand="0" w:evenVBand="0" w:oddHBand="0" w:evenHBand="0" w:firstRowFirstColumn="0" w:firstRowLastColumn="0" w:lastRowFirstColumn="0" w:lastRowLastColumn="0"/>
          <w:cantSplit/>
          <w:trHeight w:val="477"/>
          <w:tblHeader/>
        </w:trPr>
        <w:tc>
          <w:tcPr>
            <w:tcW w:w="1951" w:type="dxa"/>
            <w:tcBorders>
              <w:top w:val="single" w:sz="4" w:space="0" w:color="auto"/>
              <w:bottom w:val="single" w:sz="4" w:space="0" w:color="auto"/>
            </w:tcBorders>
            <w:hideMark/>
          </w:tcPr>
          <w:p w14:paraId="1C3A331F" w14:textId="77777777" w:rsidR="00D71498" w:rsidRPr="007814E2" w:rsidRDefault="00007F71" w:rsidP="00F85F27">
            <w:pPr>
              <w:spacing w:line="240" w:lineRule="auto"/>
              <w:rPr>
                <w:b/>
              </w:rPr>
            </w:pPr>
            <w:r w:rsidRPr="007814E2">
              <w:rPr>
                <w:b/>
                <w:bCs/>
              </w:rPr>
              <w:t>Sector</w:t>
            </w:r>
          </w:p>
        </w:tc>
        <w:tc>
          <w:tcPr>
            <w:tcW w:w="3544" w:type="dxa"/>
            <w:tcBorders>
              <w:top w:val="single" w:sz="4" w:space="0" w:color="auto"/>
              <w:bottom w:val="single" w:sz="4" w:space="0" w:color="auto"/>
            </w:tcBorders>
            <w:hideMark/>
          </w:tcPr>
          <w:p w14:paraId="7FC7DB03" w14:textId="77777777" w:rsidR="00D71498" w:rsidRPr="007814E2" w:rsidRDefault="00007F71" w:rsidP="00F85F27">
            <w:pPr>
              <w:spacing w:line="240" w:lineRule="auto"/>
              <w:rPr>
                <w:b/>
              </w:rPr>
            </w:pPr>
            <w:r w:rsidRPr="007814E2">
              <w:rPr>
                <w:b/>
                <w:bCs/>
              </w:rPr>
              <w:t>Reason</w:t>
            </w:r>
          </w:p>
        </w:tc>
        <w:tc>
          <w:tcPr>
            <w:tcW w:w="2410" w:type="dxa"/>
            <w:tcBorders>
              <w:top w:val="single" w:sz="4" w:space="0" w:color="auto"/>
              <w:bottom w:val="single" w:sz="4" w:space="0" w:color="auto"/>
            </w:tcBorders>
            <w:hideMark/>
          </w:tcPr>
          <w:p w14:paraId="312A0F7B" w14:textId="77777777" w:rsidR="00D71498" w:rsidRPr="007814E2" w:rsidRDefault="00007F71" w:rsidP="00F85F27">
            <w:pPr>
              <w:spacing w:line="240" w:lineRule="auto"/>
              <w:jc w:val="center"/>
              <w:rPr>
                <w:b/>
              </w:rPr>
            </w:pPr>
            <w:r w:rsidRPr="007814E2">
              <w:rPr>
                <w:b/>
                <w:bCs/>
              </w:rPr>
              <w:t>No. responses</w:t>
            </w:r>
          </w:p>
        </w:tc>
        <w:tc>
          <w:tcPr>
            <w:tcW w:w="1701" w:type="dxa"/>
            <w:tcBorders>
              <w:top w:val="single" w:sz="4" w:space="0" w:color="auto"/>
              <w:bottom w:val="single" w:sz="4" w:space="0" w:color="auto"/>
            </w:tcBorders>
            <w:hideMark/>
          </w:tcPr>
          <w:p w14:paraId="35A0B23C" w14:textId="77777777" w:rsidR="00D71498" w:rsidRPr="007814E2" w:rsidRDefault="00007F71" w:rsidP="00F85F27">
            <w:pPr>
              <w:spacing w:line="240" w:lineRule="auto"/>
              <w:jc w:val="center"/>
              <w:rPr>
                <w:b/>
              </w:rPr>
            </w:pPr>
            <w:r w:rsidRPr="007814E2">
              <w:rPr>
                <w:b/>
                <w:bCs/>
              </w:rPr>
              <w:t>% of sector</w:t>
            </w:r>
          </w:p>
        </w:tc>
      </w:tr>
      <w:tr w:rsidR="00007F71" w:rsidRPr="007814E2" w14:paraId="1ABF7562" w14:textId="77777777" w:rsidTr="006F66EF">
        <w:trPr>
          <w:cantSplit/>
          <w:trHeight w:val="338"/>
        </w:trPr>
        <w:tc>
          <w:tcPr>
            <w:tcW w:w="1951" w:type="dxa"/>
            <w:tcBorders>
              <w:top w:val="single" w:sz="4" w:space="0" w:color="auto"/>
            </w:tcBorders>
            <w:shd w:val="clear" w:color="auto" w:fill="FFFFFF" w:themeFill="background1"/>
            <w:hideMark/>
          </w:tcPr>
          <w:p w14:paraId="38586CA5" w14:textId="77777777" w:rsidR="00D71498" w:rsidRPr="009C6BF9" w:rsidRDefault="00007F71" w:rsidP="00F85F27">
            <w:pPr>
              <w:spacing w:line="240" w:lineRule="auto"/>
              <w:rPr>
                <w:b/>
              </w:rPr>
            </w:pPr>
            <w:r w:rsidRPr="009C6BF9">
              <w:rPr>
                <w:b/>
              </w:rPr>
              <w:t>Industry</w:t>
            </w:r>
          </w:p>
        </w:tc>
        <w:tc>
          <w:tcPr>
            <w:tcW w:w="3544" w:type="dxa"/>
            <w:tcBorders>
              <w:top w:val="single" w:sz="4" w:space="0" w:color="auto"/>
            </w:tcBorders>
            <w:shd w:val="clear" w:color="auto" w:fill="FFFFFF" w:themeFill="background1"/>
            <w:hideMark/>
          </w:tcPr>
          <w:p w14:paraId="334CBC26" w14:textId="77777777" w:rsidR="00D71498" w:rsidRPr="007814E2" w:rsidRDefault="00007F71" w:rsidP="00F85F27">
            <w:pPr>
              <w:spacing w:line="240" w:lineRule="auto"/>
            </w:pPr>
            <w:r w:rsidRPr="007814E2">
              <w:t>Continued industry viability</w:t>
            </w:r>
          </w:p>
        </w:tc>
        <w:tc>
          <w:tcPr>
            <w:tcW w:w="2410" w:type="dxa"/>
            <w:tcBorders>
              <w:top w:val="single" w:sz="4" w:space="0" w:color="auto"/>
            </w:tcBorders>
            <w:shd w:val="clear" w:color="auto" w:fill="FFFFFF" w:themeFill="background1"/>
            <w:hideMark/>
          </w:tcPr>
          <w:p w14:paraId="21DADF37" w14:textId="77777777" w:rsidR="00D71498" w:rsidRPr="007814E2" w:rsidRDefault="00007F71" w:rsidP="00F85F27">
            <w:pPr>
              <w:spacing w:line="240" w:lineRule="auto"/>
              <w:jc w:val="center"/>
            </w:pPr>
            <w:r w:rsidRPr="007814E2">
              <w:t>79</w:t>
            </w:r>
          </w:p>
        </w:tc>
        <w:tc>
          <w:tcPr>
            <w:tcW w:w="1701" w:type="dxa"/>
            <w:tcBorders>
              <w:top w:val="single" w:sz="4" w:space="0" w:color="auto"/>
            </w:tcBorders>
            <w:shd w:val="clear" w:color="auto" w:fill="FFFFFF" w:themeFill="background1"/>
            <w:hideMark/>
          </w:tcPr>
          <w:p w14:paraId="64B1F98D" w14:textId="77777777" w:rsidR="00D71498" w:rsidRPr="007814E2" w:rsidRDefault="00007F71" w:rsidP="00F85F27">
            <w:pPr>
              <w:spacing w:line="240" w:lineRule="auto"/>
              <w:jc w:val="center"/>
            </w:pPr>
            <w:r w:rsidRPr="007814E2">
              <w:t>34</w:t>
            </w:r>
          </w:p>
        </w:tc>
      </w:tr>
      <w:tr w:rsidR="00007F71" w:rsidRPr="007814E2" w14:paraId="061F0254" w14:textId="77777777" w:rsidTr="006F66EF">
        <w:trPr>
          <w:cnfStyle w:val="000000010000" w:firstRow="0" w:lastRow="0" w:firstColumn="0" w:lastColumn="0" w:oddVBand="0" w:evenVBand="0" w:oddHBand="0" w:evenHBand="1" w:firstRowFirstColumn="0" w:firstRowLastColumn="0" w:lastRowFirstColumn="0" w:lastRowLastColumn="0"/>
          <w:cantSplit/>
          <w:trHeight w:val="338"/>
        </w:trPr>
        <w:tc>
          <w:tcPr>
            <w:tcW w:w="1951" w:type="dxa"/>
            <w:tcBorders>
              <w:bottom w:val="single" w:sz="4" w:space="0" w:color="auto"/>
            </w:tcBorders>
            <w:shd w:val="clear" w:color="auto" w:fill="FFFFFF" w:themeFill="background1"/>
            <w:hideMark/>
          </w:tcPr>
          <w:p w14:paraId="3E06FE4D" w14:textId="77777777" w:rsidR="00D71498" w:rsidRPr="009C6BF9" w:rsidRDefault="00007F71" w:rsidP="00F85F27">
            <w:pPr>
              <w:spacing w:line="240" w:lineRule="auto"/>
              <w:rPr>
                <w:b/>
              </w:rPr>
            </w:pPr>
            <w:r w:rsidRPr="009C6BF9">
              <w:rPr>
                <w:b/>
              </w:rPr>
              <w:t> </w:t>
            </w:r>
          </w:p>
        </w:tc>
        <w:tc>
          <w:tcPr>
            <w:tcW w:w="3544" w:type="dxa"/>
            <w:tcBorders>
              <w:bottom w:val="single" w:sz="4" w:space="0" w:color="auto"/>
            </w:tcBorders>
            <w:shd w:val="clear" w:color="auto" w:fill="FFFFFF" w:themeFill="background1"/>
            <w:hideMark/>
          </w:tcPr>
          <w:p w14:paraId="2D56B7AD" w14:textId="77777777" w:rsidR="00D71498" w:rsidRPr="007814E2" w:rsidRDefault="00007F71" w:rsidP="00F85F27">
            <w:pPr>
              <w:spacing w:line="240" w:lineRule="auto"/>
            </w:pPr>
            <w:r w:rsidRPr="007814E2">
              <w:t>Preservation of our biodiversity</w:t>
            </w:r>
          </w:p>
        </w:tc>
        <w:tc>
          <w:tcPr>
            <w:tcW w:w="2410" w:type="dxa"/>
            <w:tcBorders>
              <w:bottom w:val="single" w:sz="4" w:space="0" w:color="auto"/>
            </w:tcBorders>
            <w:shd w:val="clear" w:color="auto" w:fill="FFFFFF" w:themeFill="background1"/>
            <w:hideMark/>
          </w:tcPr>
          <w:p w14:paraId="72D12A4E" w14:textId="77777777" w:rsidR="00D71498" w:rsidRPr="007814E2" w:rsidRDefault="00007F71" w:rsidP="00F85F27">
            <w:pPr>
              <w:spacing w:line="240" w:lineRule="auto"/>
              <w:jc w:val="center"/>
            </w:pPr>
            <w:r w:rsidRPr="007814E2">
              <w:t>40</w:t>
            </w:r>
          </w:p>
        </w:tc>
        <w:tc>
          <w:tcPr>
            <w:tcW w:w="1701" w:type="dxa"/>
            <w:tcBorders>
              <w:bottom w:val="single" w:sz="4" w:space="0" w:color="auto"/>
            </w:tcBorders>
            <w:shd w:val="clear" w:color="auto" w:fill="FFFFFF" w:themeFill="background1"/>
            <w:hideMark/>
          </w:tcPr>
          <w:p w14:paraId="5D50F6F5" w14:textId="77777777" w:rsidR="00D71498" w:rsidRPr="007814E2" w:rsidRDefault="00007F71" w:rsidP="00F85F27">
            <w:pPr>
              <w:spacing w:line="240" w:lineRule="auto"/>
              <w:jc w:val="center"/>
            </w:pPr>
            <w:r w:rsidRPr="007814E2">
              <w:t>17</w:t>
            </w:r>
          </w:p>
        </w:tc>
      </w:tr>
      <w:tr w:rsidR="001F380F" w:rsidRPr="007814E2" w14:paraId="64581089" w14:textId="77777777" w:rsidTr="006F66EF">
        <w:trPr>
          <w:cantSplit/>
          <w:trHeight w:val="338"/>
        </w:trPr>
        <w:tc>
          <w:tcPr>
            <w:tcW w:w="1951" w:type="dxa"/>
            <w:tcBorders>
              <w:top w:val="single" w:sz="4" w:space="0" w:color="auto"/>
            </w:tcBorders>
            <w:shd w:val="clear" w:color="auto" w:fill="F2F2F2" w:themeFill="background1" w:themeFillShade="F2"/>
            <w:hideMark/>
          </w:tcPr>
          <w:p w14:paraId="6EA90483" w14:textId="77777777" w:rsidR="00D71498" w:rsidRPr="009C6BF9" w:rsidRDefault="00007F71" w:rsidP="00F85F27">
            <w:pPr>
              <w:spacing w:line="240" w:lineRule="auto"/>
              <w:rPr>
                <w:b/>
              </w:rPr>
            </w:pPr>
            <w:r w:rsidRPr="009C6BF9">
              <w:rPr>
                <w:b/>
              </w:rPr>
              <w:t>Government</w:t>
            </w:r>
          </w:p>
        </w:tc>
        <w:tc>
          <w:tcPr>
            <w:tcW w:w="3544" w:type="dxa"/>
            <w:tcBorders>
              <w:top w:val="single" w:sz="4" w:space="0" w:color="auto"/>
            </w:tcBorders>
            <w:shd w:val="clear" w:color="auto" w:fill="F2F2F2" w:themeFill="background1" w:themeFillShade="F2"/>
            <w:hideMark/>
          </w:tcPr>
          <w:p w14:paraId="651F180A" w14:textId="77777777" w:rsidR="00D71498" w:rsidRPr="007814E2" w:rsidRDefault="00007F71" w:rsidP="00F85F27">
            <w:pPr>
              <w:spacing w:line="240" w:lineRule="auto"/>
            </w:pPr>
            <w:r w:rsidRPr="007814E2">
              <w:t>Continued industry viability</w:t>
            </w:r>
          </w:p>
        </w:tc>
        <w:tc>
          <w:tcPr>
            <w:tcW w:w="2410" w:type="dxa"/>
            <w:tcBorders>
              <w:top w:val="single" w:sz="4" w:space="0" w:color="auto"/>
            </w:tcBorders>
            <w:shd w:val="clear" w:color="auto" w:fill="F2F2F2" w:themeFill="background1" w:themeFillShade="F2"/>
            <w:hideMark/>
          </w:tcPr>
          <w:p w14:paraId="74EA1A9C" w14:textId="77777777" w:rsidR="00D71498" w:rsidRPr="007814E2" w:rsidRDefault="00007F71" w:rsidP="00F85F27">
            <w:pPr>
              <w:spacing w:line="240" w:lineRule="auto"/>
              <w:jc w:val="center"/>
            </w:pPr>
            <w:r w:rsidRPr="007814E2">
              <w:t>49</w:t>
            </w:r>
          </w:p>
        </w:tc>
        <w:tc>
          <w:tcPr>
            <w:tcW w:w="1701" w:type="dxa"/>
            <w:tcBorders>
              <w:top w:val="single" w:sz="4" w:space="0" w:color="auto"/>
            </w:tcBorders>
            <w:shd w:val="clear" w:color="auto" w:fill="F2F2F2" w:themeFill="background1" w:themeFillShade="F2"/>
            <w:hideMark/>
          </w:tcPr>
          <w:p w14:paraId="540BD0DA" w14:textId="77777777" w:rsidR="00D71498" w:rsidRPr="007814E2" w:rsidRDefault="00007F71" w:rsidP="00F85F27">
            <w:pPr>
              <w:spacing w:line="240" w:lineRule="auto"/>
              <w:jc w:val="center"/>
            </w:pPr>
            <w:r w:rsidRPr="007814E2">
              <w:t>28</w:t>
            </w:r>
          </w:p>
        </w:tc>
      </w:tr>
      <w:tr w:rsidR="001F380F" w:rsidRPr="007814E2" w14:paraId="0F805BF4" w14:textId="77777777" w:rsidTr="006F66EF">
        <w:trPr>
          <w:cnfStyle w:val="000000010000" w:firstRow="0" w:lastRow="0" w:firstColumn="0" w:lastColumn="0" w:oddVBand="0" w:evenVBand="0" w:oddHBand="0" w:evenHBand="1" w:firstRowFirstColumn="0" w:firstRowLastColumn="0" w:lastRowFirstColumn="0" w:lastRowLastColumn="0"/>
          <w:cantSplit/>
          <w:trHeight w:val="338"/>
        </w:trPr>
        <w:tc>
          <w:tcPr>
            <w:tcW w:w="1951" w:type="dxa"/>
            <w:tcBorders>
              <w:bottom w:val="single" w:sz="4" w:space="0" w:color="auto"/>
            </w:tcBorders>
            <w:hideMark/>
          </w:tcPr>
          <w:p w14:paraId="217F53B4" w14:textId="77777777" w:rsidR="00D71498" w:rsidRPr="009C6BF9" w:rsidRDefault="00007F71" w:rsidP="00F85F27">
            <w:pPr>
              <w:spacing w:line="240" w:lineRule="auto"/>
              <w:rPr>
                <w:b/>
              </w:rPr>
            </w:pPr>
            <w:r w:rsidRPr="009C6BF9">
              <w:rPr>
                <w:b/>
              </w:rPr>
              <w:t> </w:t>
            </w:r>
          </w:p>
        </w:tc>
        <w:tc>
          <w:tcPr>
            <w:tcW w:w="3544" w:type="dxa"/>
            <w:tcBorders>
              <w:bottom w:val="single" w:sz="4" w:space="0" w:color="auto"/>
            </w:tcBorders>
            <w:hideMark/>
          </w:tcPr>
          <w:p w14:paraId="2CBAE480" w14:textId="77777777" w:rsidR="00D71498" w:rsidRPr="007814E2" w:rsidRDefault="00007F71" w:rsidP="00F85F27">
            <w:pPr>
              <w:spacing w:line="240" w:lineRule="auto"/>
            </w:pPr>
            <w:r w:rsidRPr="007814E2">
              <w:t>Preservation of our biodiversity</w:t>
            </w:r>
          </w:p>
        </w:tc>
        <w:tc>
          <w:tcPr>
            <w:tcW w:w="2410" w:type="dxa"/>
            <w:tcBorders>
              <w:bottom w:val="single" w:sz="4" w:space="0" w:color="auto"/>
            </w:tcBorders>
            <w:hideMark/>
          </w:tcPr>
          <w:p w14:paraId="18DCE09D" w14:textId="77777777" w:rsidR="00D71498" w:rsidRPr="007814E2" w:rsidRDefault="00007F71" w:rsidP="00F85F27">
            <w:pPr>
              <w:spacing w:line="240" w:lineRule="auto"/>
              <w:jc w:val="center"/>
            </w:pPr>
            <w:r w:rsidRPr="007814E2">
              <w:t>36</w:t>
            </w:r>
          </w:p>
        </w:tc>
        <w:tc>
          <w:tcPr>
            <w:tcW w:w="1701" w:type="dxa"/>
            <w:tcBorders>
              <w:bottom w:val="single" w:sz="4" w:space="0" w:color="auto"/>
            </w:tcBorders>
            <w:hideMark/>
          </w:tcPr>
          <w:p w14:paraId="6CA19FE7" w14:textId="77777777" w:rsidR="00D71498" w:rsidRPr="007814E2" w:rsidRDefault="00007F71" w:rsidP="00F85F27">
            <w:pPr>
              <w:spacing w:line="240" w:lineRule="auto"/>
              <w:jc w:val="center"/>
            </w:pPr>
            <w:r w:rsidRPr="007814E2">
              <w:t>21</w:t>
            </w:r>
          </w:p>
        </w:tc>
      </w:tr>
      <w:tr w:rsidR="00007F71" w:rsidRPr="007814E2" w14:paraId="6A4C48E5" w14:textId="77777777" w:rsidTr="006F66EF">
        <w:trPr>
          <w:cantSplit/>
          <w:trHeight w:val="338"/>
        </w:trPr>
        <w:tc>
          <w:tcPr>
            <w:tcW w:w="1951" w:type="dxa"/>
            <w:tcBorders>
              <w:top w:val="single" w:sz="4" w:space="0" w:color="auto"/>
            </w:tcBorders>
            <w:shd w:val="clear" w:color="auto" w:fill="FFFFFF" w:themeFill="background1"/>
            <w:hideMark/>
          </w:tcPr>
          <w:p w14:paraId="4A545D02" w14:textId="77777777" w:rsidR="00D71498" w:rsidRPr="009C6BF9" w:rsidRDefault="00007F71" w:rsidP="00F85F27">
            <w:pPr>
              <w:spacing w:line="240" w:lineRule="auto"/>
              <w:rPr>
                <w:b/>
              </w:rPr>
            </w:pPr>
            <w:r w:rsidRPr="009C6BF9">
              <w:rPr>
                <w:b/>
              </w:rPr>
              <w:t>Community</w:t>
            </w:r>
          </w:p>
        </w:tc>
        <w:tc>
          <w:tcPr>
            <w:tcW w:w="3544" w:type="dxa"/>
            <w:tcBorders>
              <w:top w:val="single" w:sz="4" w:space="0" w:color="auto"/>
            </w:tcBorders>
            <w:shd w:val="clear" w:color="auto" w:fill="FFFFFF" w:themeFill="background1"/>
            <w:hideMark/>
          </w:tcPr>
          <w:p w14:paraId="2180E680" w14:textId="77777777" w:rsidR="00D71498" w:rsidRPr="007814E2" w:rsidRDefault="00007F71" w:rsidP="00F85F27">
            <w:pPr>
              <w:spacing w:line="240" w:lineRule="auto"/>
            </w:pPr>
            <w:r w:rsidRPr="007814E2">
              <w:t>Healthy ecosystems</w:t>
            </w:r>
          </w:p>
        </w:tc>
        <w:tc>
          <w:tcPr>
            <w:tcW w:w="2410" w:type="dxa"/>
            <w:tcBorders>
              <w:top w:val="single" w:sz="4" w:space="0" w:color="auto"/>
            </w:tcBorders>
            <w:shd w:val="clear" w:color="auto" w:fill="FFFFFF" w:themeFill="background1"/>
            <w:hideMark/>
          </w:tcPr>
          <w:p w14:paraId="69178EFE" w14:textId="77777777" w:rsidR="00D71498" w:rsidRPr="007814E2" w:rsidRDefault="00007F71" w:rsidP="00F85F27">
            <w:pPr>
              <w:spacing w:line="240" w:lineRule="auto"/>
              <w:jc w:val="center"/>
            </w:pPr>
            <w:r w:rsidRPr="007814E2">
              <w:t>48</w:t>
            </w:r>
          </w:p>
        </w:tc>
        <w:tc>
          <w:tcPr>
            <w:tcW w:w="1701" w:type="dxa"/>
            <w:tcBorders>
              <w:top w:val="single" w:sz="4" w:space="0" w:color="auto"/>
            </w:tcBorders>
            <w:shd w:val="clear" w:color="auto" w:fill="FFFFFF" w:themeFill="background1"/>
            <w:hideMark/>
          </w:tcPr>
          <w:p w14:paraId="47D5A5F3" w14:textId="77777777" w:rsidR="00D71498" w:rsidRPr="007814E2" w:rsidRDefault="00007F71" w:rsidP="00F85F27">
            <w:pPr>
              <w:spacing w:line="240" w:lineRule="auto"/>
              <w:jc w:val="center"/>
            </w:pPr>
            <w:r w:rsidRPr="007814E2">
              <w:t>39</w:t>
            </w:r>
          </w:p>
        </w:tc>
      </w:tr>
      <w:tr w:rsidR="00007F71" w:rsidRPr="007814E2" w14:paraId="1EC42915" w14:textId="77777777" w:rsidTr="006F66EF">
        <w:trPr>
          <w:cnfStyle w:val="000000010000" w:firstRow="0" w:lastRow="0" w:firstColumn="0" w:lastColumn="0" w:oddVBand="0" w:evenVBand="0" w:oddHBand="0" w:evenHBand="1" w:firstRowFirstColumn="0" w:firstRowLastColumn="0" w:lastRowFirstColumn="0" w:lastRowLastColumn="0"/>
          <w:cantSplit/>
          <w:trHeight w:val="338"/>
        </w:trPr>
        <w:tc>
          <w:tcPr>
            <w:tcW w:w="1951" w:type="dxa"/>
            <w:tcBorders>
              <w:bottom w:val="single" w:sz="4" w:space="0" w:color="auto"/>
            </w:tcBorders>
            <w:shd w:val="clear" w:color="auto" w:fill="FFFFFF" w:themeFill="background1"/>
            <w:hideMark/>
          </w:tcPr>
          <w:p w14:paraId="0B956F6F" w14:textId="77777777" w:rsidR="00D71498" w:rsidRPr="009C6BF9" w:rsidRDefault="00007F71" w:rsidP="00F85F27">
            <w:pPr>
              <w:spacing w:line="240" w:lineRule="auto"/>
              <w:rPr>
                <w:b/>
              </w:rPr>
            </w:pPr>
            <w:r w:rsidRPr="009C6BF9">
              <w:rPr>
                <w:b/>
              </w:rPr>
              <w:t> </w:t>
            </w:r>
          </w:p>
        </w:tc>
        <w:tc>
          <w:tcPr>
            <w:tcW w:w="3544" w:type="dxa"/>
            <w:tcBorders>
              <w:bottom w:val="single" w:sz="4" w:space="0" w:color="auto"/>
            </w:tcBorders>
            <w:shd w:val="clear" w:color="auto" w:fill="FFFFFF" w:themeFill="background1"/>
            <w:hideMark/>
          </w:tcPr>
          <w:p w14:paraId="7EE09A8F" w14:textId="77777777" w:rsidR="00D71498" w:rsidRPr="007814E2" w:rsidRDefault="00007F71" w:rsidP="00F85F27">
            <w:pPr>
              <w:spacing w:line="240" w:lineRule="auto"/>
            </w:pPr>
            <w:r w:rsidRPr="007814E2">
              <w:t>Preservation of our biodiversity</w:t>
            </w:r>
          </w:p>
        </w:tc>
        <w:tc>
          <w:tcPr>
            <w:tcW w:w="2410" w:type="dxa"/>
            <w:tcBorders>
              <w:bottom w:val="single" w:sz="4" w:space="0" w:color="auto"/>
            </w:tcBorders>
            <w:shd w:val="clear" w:color="auto" w:fill="FFFFFF" w:themeFill="background1"/>
            <w:hideMark/>
          </w:tcPr>
          <w:p w14:paraId="09966AB8" w14:textId="77777777" w:rsidR="00D71498" w:rsidRPr="007814E2" w:rsidRDefault="00007F71" w:rsidP="00F85F27">
            <w:pPr>
              <w:spacing w:line="240" w:lineRule="auto"/>
              <w:jc w:val="center"/>
            </w:pPr>
            <w:r w:rsidRPr="007814E2">
              <w:t>41</w:t>
            </w:r>
          </w:p>
        </w:tc>
        <w:tc>
          <w:tcPr>
            <w:tcW w:w="1701" w:type="dxa"/>
            <w:tcBorders>
              <w:bottom w:val="single" w:sz="4" w:space="0" w:color="auto"/>
            </w:tcBorders>
            <w:shd w:val="clear" w:color="auto" w:fill="FFFFFF" w:themeFill="background1"/>
            <w:hideMark/>
          </w:tcPr>
          <w:p w14:paraId="6A88D79A" w14:textId="77777777" w:rsidR="00D71498" w:rsidRPr="007814E2" w:rsidRDefault="00007F71" w:rsidP="00F85F27">
            <w:pPr>
              <w:spacing w:line="240" w:lineRule="auto"/>
              <w:jc w:val="center"/>
            </w:pPr>
            <w:r w:rsidRPr="007814E2">
              <w:t>33</w:t>
            </w:r>
          </w:p>
        </w:tc>
      </w:tr>
    </w:tbl>
    <w:p w14:paraId="3196C688" w14:textId="77777777" w:rsidR="007F090D" w:rsidRDefault="007F090D" w:rsidP="00F85F27"/>
    <w:p w14:paraId="5BBF1E91" w14:textId="77777777" w:rsidR="00DB2386" w:rsidRDefault="00DB2386" w:rsidP="00A07C28">
      <w:pPr>
        <w:pStyle w:val="BodyText1"/>
      </w:pPr>
      <w:r>
        <w:t xml:space="preserve">All stakeholders that participated in the survey and discussions </w:t>
      </w:r>
      <w:r w:rsidR="00F87548">
        <w:t>viewed</w:t>
      </w:r>
      <w:r>
        <w:t xml:space="preserve"> biosecurity as </w:t>
      </w:r>
      <w:r w:rsidR="00F87548">
        <w:t>important</w:t>
      </w:r>
      <w:r>
        <w:t xml:space="preserve"> to their areas of interest. </w:t>
      </w:r>
      <w:r w:rsidR="00A7643B">
        <w:t>A strong level of agreement was evident by the online survey respondents to the statement ‘A well-managed biosecurity system is important for my sector/area of interest’, with a mean response of 6.5 (where 1 = strongly disagree; and 7 = strongly agree).</w:t>
      </w:r>
    </w:p>
    <w:p w14:paraId="4E0476EB" w14:textId="77777777" w:rsidR="00A07E54" w:rsidRDefault="00A07E54" w:rsidP="00F85F27"/>
    <w:p w14:paraId="38485A9A" w14:textId="77777777" w:rsidR="00471AC3" w:rsidRDefault="00471AC3">
      <w:pPr>
        <w:spacing w:before="0" w:line="240" w:lineRule="auto"/>
        <w:jc w:val="center"/>
        <w:rPr>
          <w:rFonts w:eastAsiaTheme="majorEastAsia" w:cstheme="majorBidi"/>
          <w:b/>
          <w:bCs/>
          <w:sz w:val="26"/>
          <w:szCs w:val="26"/>
        </w:rPr>
      </w:pPr>
      <w:r>
        <w:br w:type="page"/>
      </w:r>
    </w:p>
    <w:p w14:paraId="1C52F1D6" w14:textId="67E0DB42" w:rsidR="005644C2" w:rsidRDefault="008737C8" w:rsidP="00F97828">
      <w:pPr>
        <w:pStyle w:val="Heading2"/>
      </w:pPr>
      <w:bookmarkStart w:id="15" w:name="_Toc411452995"/>
      <w:r>
        <w:lastRenderedPageBreak/>
        <w:t>Biosecurity – a shared responsibility</w:t>
      </w:r>
      <w:bookmarkEnd w:id="15"/>
    </w:p>
    <w:p w14:paraId="351457C3" w14:textId="77777777" w:rsidR="005644C2" w:rsidRDefault="005644C2" w:rsidP="00A07C28">
      <w:pPr>
        <w:pStyle w:val="BodyText1"/>
      </w:pPr>
      <w:r>
        <w:t xml:space="preserve">All stakeholder </w:t>
      </w:r>
      <w:r w:rsidR="00F87548">
        <w:t xml:space="preserve">discussions </w:t>
      </w:r>
      <w:r>
        <w:t xml:space="preserve">identified biosecurity as </w:t>
      </w:r>
      <w:r w:rsidR="008D24C2">
        <w:t>the</w:t>
      </w:r>
      <w:r>
        <w:t xml:space="preserve"> responsibility of everyone – industry</w:t>
      </w:r>
      <w:r w:rsidR="00056F98">
        <w:t>, government</w:t>
      </w:r>
      <w:r>
        <w:t xml:space="preserve"> and community</w:t>
      </w:r>
      <w:r w:rsidR="008D24C2">
        <w:t>. In particular, it was a common belief that it was the responsibility of all citizens to:</w:t>
      </w:r>
    </w:p>
    <w:p w14:paraId="6877B671" w14:textId="51DF3A84" w:rsidR="008D24C2" w:rsidRDefault="00C25602" w:rsidP="00E36846">
      <w:pPr>
        <w:pStyle w:val="ListParagraph"/>
        <w:numPr>
          <w:ilvl w:val="0"/>
          <w:numId w:val="11"/>
        </w:numPr>
      </w:pPr>
      <w:r>
        <w:t>r</w:t>
      </w:r>
      <w:r w:rsidR="008D24C2">
        <w:t>eport biosecurity issues</w:t>
      </w:r>
    </w:p>
    <w:p w14:paraId="539F0EC0" w14:textId="2D329FB1" w:rsidR="008D24C2" w:rsidRDefault="00C25602" w:rsidP="00E36846">
      <w:pPr>
        <w:pStyle w:val="ListParagraph"/>
        <w:numPr>
          <w:ilvl w:val="0"/>
          <w:numId w:val="11"/>
        </w:numPr>
      </w:pPr>
      <w:proofErr w:type="gramStart"/>
      <w:r>
        <w:t>u</w:t>
      </w:r>
      <w:r w:rsidR="00056F98">
        <w:t>ndertake</w:t>
      </w:r>
      <w:proofErr w:type="gramEnd"/>
      <w:r w:rsidR="00056F98">
        <w:t xml:space="preserve"> the necessary measures to prevent the</w:t>
      </w:r>
      <w:r w:rsidR="00FE2E88">
        <w:t xml:space="preserve"> introduction and</w:t>
      </w:r>
      <w:r w:rsidR="00056F98">
        <w:t xml:space="preserve"> spread of pests, weeds and diseases.</w:t>
      </w:r>
    </w:p>
    <w:p w14:paraId="1805C5B4" w14:textId="4ACB0FE4" w:rsidR="00F87548" w:rsidRDefault="003A2296" w:rsidP="00F85F27">
      <w:r>
        <w:t>The view of b</w:t>
      </w:r>
      <w:r w:rsidR="00F87548">
        <w:t xml:space="preserve">iosecurity as a shared responsibility was </w:t>
      </w:r>
      <w:r>
        <w:t>corroborated by t</w:t>
      </w:r>
      <w:r w:rsidR="00C25602">
        <w:t>he online survey results (Figure</w:t>
      </w:r>
      <w:r>
        <w:t xml:space="preserve"> 4).</w:t>
      </w:r>
    </w:p>
    <w:p w14:paraId="0D5D4E9D" w14:textId="77777777" w:rsidR="00A86CFE" w:rsidRDefault="00A86CFE" w:rsidP="00F85F27"/>
    <w:p w14:paraId="307E37B9" w14:textId="77777777" w:rsidR="003A2296" w:rsidRDefault="003A2296" w:rsidP="00F85F27">
      <w:pPr>
        <w:jc w:val="center"/>
      </w:pPr>
      <w:r>
        <w:rPr>
          <w:noProof/>
          <w:lang w:eastAsia="en-AU"/>
        </w:rPr>
        <w:drawing>
          <wp:inline distT="0" distB="0" distL="0" distR="0" wp14:anchorId="1A60387D" wp14:editId="498A80CA">
            <wp:extent cx="5762171" cy="2728685"/>
            <wp:effectExtent l="0" t="0" r="0" b="0"/>
            <wp:docPr id="3" name="Chart 3" descr="Figure 4. Survey responses to the statement ‘Everyone in the state has a responsibility for biosecur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52C89EC" w14:textId="6C602C37" w:rsidR="00F87548" w:rsidRPr="00670A46" w:rsidRDefault="00670A46" w:rsidP="00974F12">
      <w:pPr>
        <w:ind w:left="1134" w:right="-2" w:hanging="1134"/>
        <w:rPr>
          <w:b/>
        </w:rPr>
      </w:pPr>
      <w:proofErr w:type="gramStart"/>
      <w:r>
        <w:rPr>
          <w:b/>
        </w:rPr>
        <w:t>Figure 4</w:t>
      </w:r>
      <w:r w:rsidR="00C25602">
        <w:rPr>
          <w:b/>
        </w:rPr>
        <w:t>.</w:t>
      </w:r>
      <w:proofErr w:type="gramEnd"/>
      <w:r>
        <w:rPr>
          <w:b/>
        </w:rPr>
        <w:t xml:space="preserve"> </w:t>
      </w:r>
      <w:r w:rsidR="006F66EF">
        <w:rPr>
          <w:b/>
        </w:rPr>
        <w:tab/>
      </w:r>
      <w:proofErr w:type="gramStart"/>
      <w:r>
        <w:rPr>
          <w:b/>
        </w:rPr>
        <w:t xml:space="preserve">Survey responses to the statement ‘Everyone in the </w:t>
      </w:r>
      <w:r w:rsidR="00971BA2">
        <w:rPr>
          <w:b/>
        </w:rPr>
        <w:t>s</w:t>
      </w:r>
      <w:r w:rsidR="00CD142D">
        <w:rPr>
          <w:b/>
        </w:rPr>
        <w:t>tate</w:t>
      </w:r>
      <w:r>
        <w:rPr>
          <w:b/>
        </w:rPr>
        <w:t xml:space="preserve"> has a responsibility for biosecurity’.</w:t>
      </w:r>
      <w:proofErr w:type="gramEnd"/>
    </w:p>
    <w:p w14:paraId="1472442D" w14:textId="77777777" w:rsidR="00584920" w:rsidRDefault="00584920" w:rsidP="00F85F27"/>
    <w:p w14:paraId="48B41B25" w14:textId="77777777" w:rsidR="00DC422D" w:rsidRDefault="00DC422D" w:rsidP="00F85F27">
      <w:r>
        <w:t xml:space="preserve">The idea of biosecurity as a shared responsibility </w:t>
      </w:r>
      <w:r w:rsidRPr="00FB2EBC">
        <w:t>has underpinned the delivery of biosecurity for many years</w:t>
      </w:r>
      <w:r>
        <w:t xml:space="preserve">; however, the stakeholder discussions highlighted the need to improve awareness levels, and ensure that processes and systems are in place to facilitate greater citizen participation in biosecurity-related activities. </w:t>
      </w:r>
    </w:p>
    <w:p w14:paraId="40823062" w14:textId="0FDFEC3C" w:rsidR="00986981" w:rsidRDefault="00B00DBB" w:rsidP="00F85F27">
      <w:r>
        <w:t>The</w:t>
      </w:r>
      <w:r w:rsidR="00056F98">
        <w:t xml:space="preserve"> roles and responsibilities of industry, government and community</w:t>
      </w:r>
      <w:r>
        <w:t xml:space="preserve">, as </w:t>
      </w:r>
      <w:r w:rsidR="00986981">
        <w:t>perceived</w:t>
      </w:r>
      <w:r w:rsidR="00056F98">
        <w:t xml:space="preserve"> by the stakeholders</w:t>
      </w:r>
      <w:r>
        <w:t xml:space="preserve"> through the discussions</w:t>
      </w:r>
      <w:r w:rsidR="00C31F1C">
        <w:t xml:space="preserve"> and online survey</w:t>
      </w:r>
      <w:r>
        <w:t xml:space="preserve">, are presented in </w:t>
      </w:r>
      <w:r w:rsidR="00DC422D">
        <w:t xml:space="preserve">Table 3. </w:t>
      </w:r>
      <w:r w:rsidR="00986981">
        <w:t>From this, th</w:t>
      </w:r>
      <w:r>
        <w:t xml:space="preserve">ere </w:t>
      </w:r>
      <w:r w:rsidR="00180322">
        <w:t xml:space="preserve">appeared to be </w:t>
      </w:r>
      <w:r>
        <w:t xml:space="preserve">general agreement </w:t>
      </w:r>
      <w:r w:rsidR="00986981">
        <w:t>that:</w:t>
      </w:r>
    </w:p>
    <w:p w14:paraId="5D87068D" w14:textId="648EEE08" w:rsidR="00986981" w:rsidRPr="00353690" w:rsidRDefault="00C25602" w:rsidP="00E36846">
      <w:pPr>
        <w:pStyle w:val="ListParagraph"/>
        <w:numPr>
          <w:ilvl w:val="0"/>
          <w:numId w:val="17"/>
        </w:numPr>
      </w:pPr>
      <w:proofErr w:type="gramStart"/>
      <w:r>
        <w:t>i</w:t>
      </w:r>
      <w:r w:rsidR="00986981" w:rsidRPr="00353690">
        <w:t>ndustry</w:t>
      </w:r>
      <w:proofErr w:type="gramEnd"/>
      <w:r w:rsidR="00986981" w:rsidRPr="00353690">
        <w:t xml:space="preserve"> is responsible for managing their biosecurity risks, and should proactively engage with government on biosecurity issues. Industry also has a role in funding </w:t>
      </w:r>
      <w:r w:rsidR="00180322">
        <w:t>industry-wide</w:t>
      </w:r>
      <w:r w:rsidR="00353690" w:rsidRPr="00353690">
        <w:t xml:space="preserve"> biosecurity activities and r</w:t>
      </w:r>
      <w:r>
        <w:t>aising awareness of biosecurity</w:t>
      </w:r>
    </w:p>
    <w:p w14:paraId="7FE69370" w14:textId="15FEFFC0" w:rsidR="00C57746" w:rsidRDefault="00C25602" w:rsidP="00E36846">
      <w:pPr>
        <w:pStyle w:val="ListParagraph"/>
        <w:numPr>
          <w:ilvl w:val="0"/>
          <w:numId w:val="17"/>
        </w:numPr>
      </w:pPr>
      <w:proofErr w:type="gramStart"/>
      <w:r>
        <w:t>g</w:t>
      </w:r>
      <w:r w:rsidR="00986981" w:rsidRPr="00353690">
        <w:t>overnment</w:t>
      </w:r>
      <w:proofErr w:type="gramEnd"/>
      <w:r w:rsidR="00986981" w:rsidRPr="00353690">
        <w:t xml:space="preserve"> </w:t>
      </w:r>
      <w:r w:rsidR="001E0969" w:rsidRPr="00353690">
        <w:t>has</w:t>
      </w:r>
      <w:r w:rsidR="00986981" w:rsidRPr="00353690">
        <w:t xml:space="preserve"> a broader role as communicators, educators, facilitators/coordinators, assessors and protectors.</w:t>
      </w:r>
      <w:r w:rsidR="00C57746" w:rsidRPr="00C57746">
        <w:t xml:space="preserve"> </w:t>
      </w:r>
      <w:r w:rsidR="00C57746">
        <w:t>This includes having the resources to participate in broad communication and education activities; work with industry and community on surveillance, eradication and control activities; undertake critical risk assessments and analyses; and implement preventative measures an</w:t>
      </w:r>
      <w:r>
        <w:t>d emergency response activities</w:t>
      </w:r>
    </w:p>
    <w:p w14:paraId="1D683677" w14:textId="68CC77CB" w:rsidR="00A7643B" w:rsidRDefault="00C25602" w:rsidP="00E36846">
      <w:pPr>
        <w:pStyle w:val="ListParagraph"/>
        <w:numPr>
          <w:ilvl w:val="0"/>
          <w:numId w:val="17"/>
        </w:numPr>
      </w:pPr>
      <w:proofErr w:type="gramStart"/>
      <w:r>
        <w:t>c</w:t>
      </w:r>
      <w:r w:rsidR="001E0969" w:rsidRPr="00353690">
        <w:t>ommunity</w:t>
      </w:r>
      <w:proofErr w:type="gramEnd"/>
      <w:r w:rsidR="001E0969" w:rsidRPr="00353690">
        <w:t xml:space="preserve"> is an important resource for surveillance and reporting, and </w:t>
      </w:r>
      <w:r w:rsidR="00353690" w:rsidRPr="00353690">
        <w:t xml:space="preserve">can actively contribute to the </w:t>
      </w:r>
      <w:r w:rsidR="00971BA2">
        <w:t>s</w:t>
      </w:r>
      <w:r w:rsidR="00CD142D">
        <w:t>tate</w:t>
      </w:r>
      <w:r w:rsidR="00353690" w:rsidRPr="00353690">
        <w:t>’s biosecurity</w:t>
      </w:r>
      <w:r w:rsidR="001E0969" w:rsidRPr="00353690">
        <w:t>.</w:t>
      </w:r>
    </w:p>
    <w:p w14:paraId="41FE364B" w14:textId="606A19BC" w:rsidR="00060C32" w:rsidRDefault="00060C32" w:rsidP="00F85F27">
      <w:r>
        <w:lastRenderedPageBreak/>
        <w:t xml:space="preserve">In the case of resourcing, differing views emerged. </w:t>
      </w:r>
      <w:r w:rsidR="0018115D">
        <w:t>Both industry and community stakeholders saw government’s top responsibility as having the necessary resources for biosecurity-related activities; whilst g</w:t>
      </w:r>
      <w:r>
        <w:t>overnment stakeholders saw industry as an important avenue for funding biosecurity programs</w:t>
      </w:r>
      <w:r w:rsidR="0018115D">
        <w:t xml:space="preserve"> (Table 3).</w:t>
      </w:r>
    </w:p>
    <w:p w14:paraId="611F0FBC" w14:textId="77777777" w:rsidR="00F85F27" w:rsidRDefault="00F85F27" w:rsidP="009E73FF">
      <w:pPr>
        <w:pStyle w:val="BodyText1"/>
      </w:pPr>
      <w:r>
        <w:t>In addition, the online survey highlighted the following:</w:t>
      </w:r>
    </w:p>
    <w:p w14:paraId="7FAB8E43" w14:textId="77777777" w:rsidR="00F85F27" w:rsidRPr="00917A55" w:rsidRDefault="00F85F27" w:rsidP="00E36846">
      <w:pPr>
        <w:pStyle w:val="ListParagraph"/>
        <w:numPr>
          <w:ilvl w:val="0"/>
          <w:numId w:val="29"/>
        </w:numPr>
      </w:pPr>
      <w:r w:rsidRPr="00917A55">
        <w:t>It is important for everyone to minimise the spread of</w:t>
      </w:r>
      <w:r>
        <w:t xml:space="preserve"> </w:t>
      </w:r>
      <w:r w:rsidRPr="00917A55">
        <w:t>pests, weeds and diseases</w:t>
      </w:r>
      <w:r>
        <w:t xml:space="preserve"> (6.5)</w:t>
      </w:r>
    </w:p>
    <w:p w14:paraId="737DA0EA" w14:textId="77777777" w:rsidR="00F85F27" w:rsidRDefault="00F85F27" w:rsidP="00E36846">
      <w:pPr>
        <w:pStyle w:val="ListParagraph"/>
        <w:numPr>
          <w:ilvl w:val="0"/>
          <w:numId w:val="29"/>
        </w:numPr>
      </w:pPr>
      <w:r w:rsidRPr="00917A55">
        <w:t>Reporting of suspicious pests, weeds and diseases is</w:t>
      </w:r>
      <w:r>
        <w:t xml:space="preserve"> </w:t>
      </w:r>
      <w:r w:rsidRPr="00917A55">
        <w:t>everyone’s responsibility</w:t>
      </w:r>
      <w:r>
        <w:t xml:space="preserve"> (6.5)</w:t>
      </w:r>
    </w:p>
    <w:p w14:paraId="35932586" w14:textId="5F9CD47E" w:rsidR="00F85F27" w:rsidRPr="00917A55" w:rsidRDefault="00F85F27" w:rsidP="00E36846">
      <w:pPr>
        <w:pStyle w:val="ListParagraph"/>
        <w:numPr>
          <w:ilvl w:val="0"/>
          <w:numId w:val="29"/>
        </w:numPr>
      </w:pPr>
      <w:r w:rsidRPr="00917A55">
        <w:t xml:space="preserve">The main focus of the </w:t>
      </w:r>
      <w:r w:rsidR="00971BA2">
        <w:t>s</w:t>
      </w:r>
      <w:r w:rsidR="00CD142D">
        <w:t>tate</w:t>
      </w:r>
      <w:r w:rsidRPr="00917A55">
        <w:t xml:space="preserve"> government, in terms of</w:t>
      </w:r>
      <w:r>
        <w:t xml:space="preserve"> </w:t>
      </w:r>
      <w:r w:rsidRPr="00917A55">
        <w:t>biosecurity, should be prevention, early detection and</w:t>
      </w:r>
      <w:r>
        <w:t xml:space="preserve"> </w:t>
      </w:r>
      <w:r w:rsidRPr="00917A55">
        <w:t>early eradication</w:t>
      </w:r>
      <w:r>
        <w:t xml:space="preserve"> (6.3)</w:t>
      </w:r>
    </w:p>
    <w:p w14:paraId="69134A89" w14:textId="77777777" w:rsidR="00F85F27" w:rsidRPr="00917A55" w:rsidRDefault="00F85F27" w:rsidP="00E36846">
      <w:pPr>
        <w:pStyle w:val="ListParagraph"/>
        <w:numPr>
          <w:ilvl w:val="0"/>
          <w:numId w:val="29"/>
        </w:numPr>
      </w:pPr>
      <w:r w:rsidRPr="00917A55">
        <w:t>Government agenci</w:t>
      </w:r>
      <w:r>
        <w:t>es should encourage biosecurity (6.6)</w:t>
      </w:r>
    </w:p>
    <w:p w14:paraId="241F6734" w14:textId="77777777" w:rsidR="00F85F27" w:rsidRPr="00917A55" w:rsidRDefault="00F85F27" w:rsidP="00E36846">
      <w:pPr>
        <w:pStyle w:val="ListParagraph"/>
        <w:numPr>
          <w:ilvl w:val="0"/>
          <w:numId w:val="29"/>
        </w:numPr>
      </w:pPr>
      <w:r w:rsidRPr="00917A55">
        <w:t>Government agencies should keep industries and the</w:t>
      </w:r>
      <w:r>
        <w:t xml:space="preserve"> </w:t>
      </w:r>
      <w:r w:rsidRPr="00917A55">
        <w:t>general public informed about pests, weeds and diseases</w:t>
      </w:r>
      <w:r>
        <w:t xml:space="preserve"> (6.6)</w:t>
      </w:r>
    </w:p>
    <w:p w14:paraId="63C6EBE9" w14:textId="77777777" w:rsidR="00F85F27" w:rsidRPr="00917A55" w:rsidRDefault="00F85F27" w:rsidP="00E36846">
      <w:pPr>
        <w:pStyle w:val="ListParagraph"/>
        <w:numPr>
          <w:ilvl w:val="0"/>
          <w:numId w:val="29"/>
        </w:numPr>
      </w:pPr>
      <w:r w:rsidRPr="00917A55">
        <w:t>Industry groups/organisations should encourage biosecurity</w:t>
      </w:r>
      <w:r>
        <w:t xml:space="preserve"> </w:t>
      </w:r>
      <w:r w:rsidRPr="00917A55">
        <w:t>practices to their members</w:t>
      </w:r>
      <w:r>
        <w:t xml:space="preserve"> (6.6) and keep their members </w:t>
      </w:r>
      <w:r w:rsidRPr="00917A55">
        <w:t>informed about pests, weeds and diseases</w:t>
      </w:r>
      <w:r>
        <w:t xml:space="preserve"> (6.5)</w:t>
      </w:r>
    </w:p>
    <w:p w14:paraId="6155486C" w14:textId="77777777" w:rsidR="00F85F27" w:rsidRPr="00917A55" w:rsidRDefault="00F85F27" w:rsidP="00E36846">
      <w:pPr>
        <w:pStyle w:val="ListParagraph"/>
        <w:numPr>
          <w:ilvl w:val="0"/>
          <w:numId w:val="29"/>
        </w:numPr>
      </w:pPr>
      <w:r w:rsidRPr="00917A55">
        <w:t>Industry groups/organisations should undertake activities to</w:t>
      </w:r>
      <w:r>
        <w:t xml:space="preserve"> </w:t>
      </w:r>
      <w:r w:rsidRPr="00917A55">
        <w:t>raise awareness within the general community of</w:t>
      </w:r>
      <w:r>
        <w:t xml:space="preserve"> </w:t>
      </w:r>
      <w:r w:rsidRPr="00917A55">
        <w:t>biosecurity issues</w:t>
      </w:r>
      <w:r>
        <w:t xml:space="preserve"> (6.0)</w:t>
      </w:r>
    </w:p>
    <w:p w14:paraId="1FC83DF7" w14:textId="49BD3D0D" w:rsidR="00F85F27" w:rsidRDefault="00F85F27" w:rsidP="00E36846">
      <w:pPr>
        <w:pStyle w:val="ListParagraph"/>
        <w:numPr>
          <w:ilvl w:val="0"/>
          <w:numId w:val="29"/>
        </w:numPr>
      </w:pPr>
      <w:r w:rsidRPr="00917A55">
        <w:t>Community groups/organisations should encourage</w:t>
      </w:r>
      <w:r>
        <w:t xml:space="preserve"> </w:t>
      </w:r>
      <w:r w:rsidRPr="00917A55">
        <w:t>biosecurity practices among their members</w:t>
      </w:r>
      <w:r>
        <w:t xml:space="preserve"> (6.3) and </w:t>
      </w:r>
      <w:r w:rsidRPr="00917A55">
        <w:t>keep their</w:t>
      </w:r>
      <w:r>
        <w:t xml:space="preserve"> </w:t>
      </w:r>
      <w:r w:rsidRPr="00917A55">
        <w:t>members informed about pests, weeds and diseases</w:t>
      </w:r>
      <w:r>
        <w:t xml:space="preserve"> (6.3)</w:t>
      </w:r>
      <w:r w:rsidR="001C6E68">
        <w:t>.</w:t>
      </w:r>
    </w:p>
    <w:p w14:paraId="5FFDE154" w14:textId="77777777" w:rsidR="00F85F27" w:rsidRPr="0005676A" w:rsidRDefault="00F85F27" w:rsidP="00E36846">
      <w:pPr>
        <w:pStyle w:val="ListParagraph"/>
      </w:pPr>
      <w:r>
        <w:t>Note: numbers represent the average response, where 1 = strongly disagree; 7 = strongly agree</w:t>
      </w:r>
    </w:p>
    <w:p w14:paraId="29BA40FD" w14:textId="25D8DC70" w:rsidR="00F85F27" w:rsidRDefault="00F85F27" w:rsidP="009E73FF">
      <w:pPr>
        <w:pStyle w:val="BodyText1"/>
      </w:pPr>
      <w:r>
        <w:t>The role of not-for-profit and community organisations was also highlighted through the stakeholder engagement. The biosecurity agendas of these organisations are largely based on community or environmental concerns, with activities such as awareness-raising, education, fundraising and on-ground biosecurity-relate</w:t>
      </w:r>
      <w:r w:rsidR="00971BA2">
        <w:t>d programs contributing to the s</w:t>
      </w:r>
      <w:r>
        <w:t>tate’s biosecurity system. Furthermore, these organisations provide an important avenue for community engagement in biosecurity, and active citizen participation, including community volunteers.</w:t>
      </w:r>
    </w:p>
    <w:p w14:paraId="695BEBD8" w14:textId="77777777" w:rsidR="00F85F27" w:rsidRDefault="00F85F27" w:rsidP="009E73FF">
      <w:pPr>
        <w:pStyle w:val="BodyText1"/>
      </w:pPr>
      <w:r>
        <w:t>Although there appeared to be general agreement on the broad roles/responsibilities across industry, government and community, there were uncertainties and inconsistencies at a more detailed level. For example, the specific roles and responsibilities of the different government agencies were identified as an issue by government and industry stakeholders. This was supported by the responses to the online survey, with clarity of the biosecurity role of government agencies; industry and community identified as important issues (Table 4).</w:t>
      </w:r>
    </w:p>
    <w:p w14:paraId="16FD9A9A" w14:textId="77777777" w:rsidR="00A86CFE" w:rsidRDefault="00A86CFE" w:rsidP="009E73FF">
      <w:pPr>
        <w:pStyle w:val="BodyText1"/>
      </w:pPr>
    </w:p>
    <w:p w14:paraId="205A4B81" w14:textId="00BB82E6" w:rsidR="00F85F27" w:rsidRPr="004B558A" w:rsidRDefault="00F85F27" w:rsidP="006F66EF">
      <w:pPr>
        <w:spacing w:after="200"/>
        <w:ind w:left="1134" w:hanging="1134"/>
        <w:rPr>
          <w:b/>
        </w:rPr>
      </w:pPr>
      <w:proofErr w:type="gramStart"/>
      <w:r>
        <w:rPr>
          <w:b/>
        </w:rPr>
        <w:t>Table 4</w:t>
      </w:r>
      <w:r w:rsidR="00C25602">
        <w:rPr>
          <w:b/>
        </w:rPr>
        <w:t>.</w:t>
      </w:r>
      <w:proofErr w:type="gramEnd"/>
      <w:r>
        <w:rPr>
          <w:b/>
        </w:rPr>
        <w:t xml:space="preserve"> </w:t>
      </w:r>
      <w:r w:rsidR="006F66EF">
        <w:rPr>
          <w:b/>
        </w:rPr>
        <w:tab/>
      </w:r>
      <w:proofErr w:type="gramStart"/>
      <w:r>
        <w:rPr>
          <w:b/>
        </w:rPr>
        <w:t>Survey responses to ‘clarity of roles’ as an issue affecting the delivery of biosecurity in WA.</w:t>
      </w:r>
      <w:proofErr w:type="gramEnd"/>
    </w:p>
    <w:tbl>
      <w:tblPr>
        <w:tblStyle w:val="biosecurity"/>
        <w:tblW w:w="9606" w:type="dxa"/>
        <w:tblLook w:val="04A0" w:firstRow="1" w:lastRow="0" w:firstColumn="1" w:lastColumn="0" w:noHBand="0" w:noVBand="1"/>
        <w:tblDescription w:val="Table 4 - clarity of roles issues affecting the delivery of biosecurity"/>
      </w:tblPr>
      <w:tblGrid>
        <w:gridCol w:w="7338"/>
        <w:gridCol w:w="2268"/>
      </w:tblGrid>
      <w:tr w:rsidR="007F090D" w:rsidRPr="007F090D" w14:paraId="0F5F0E9A" w14:textId="77777777" w:rsidTr="007F090D">
        <w:trPr>
          <w:cnfStyle w:val="100000000000" w:firstRow="1" w:lastRow="0" w:firstColumn="0" w:lastColumn="0" w:oddVBand="0" w:evenVBand="0" w:oddHBand="0" w:evenHBand="0" w:firstRowFirstColumn="0" w:firstRowLastColumn="0" w:lastRowFirstColumn="0" w:lastRowLastColumn="0"/>
          <w:cantSplit/>
          <w:trHeight w:val="477"/>
          <w:tblHeader/>
        </w:trPr>
        <w:tc>
          <w:tcPr>
            <w:tcW w:w="7338" w:type="dxa"/>
            <w:hideMark/>
          </w:tcPr>
          <w:p w14:paraId="430F5DAB" w14:textId="77777777" w:rsidR="00F85F27" w:rsidRPr="007F090D" w:rsidRDefault="00F85F27" w:rsidP="004F4951">
            <w:pPr>
              <w:spacing w:line="240" w:lineRule="auto"/>
              <w:rPr>
                <w:b/>
                <w:color w:val="FFFFFF" w:themeColor="background1"/>
              </w:rPr>
            </w:pPr>
            <w:r w:rsidRPr="007F090D">
              <w:rPr>
                <w:b/>
                <w:bCs/>
                <w:color w:val="FFFFFF" w:themeColor="background1"/>
              </w:rPr>
              <w:t>Issue</w:t>
            </w:r>
          </w:p>
        </w:tc>
        <w:tc>
          <w:tcPr>
            <w:tcW w:w="2268" w:type="dxa"/>
            <w:hideMark/>
          </w:tcPr>
          <w:p w14:paraId="3F893FBD" w14:textId="77777777" w:rsidR="00F85F27" w:rsidRPr="007F090D" w:rsidRDefault="00F85F27" w:rsidP="00F85F27">
            <w:pPr>
              <w:spacing w:line="240" w:lineRule="auto"/>
              <w:jc w:val="center"/>
              <w:rPr>
                <w:b/>
                <w:color w:val="FFFFFF" w:themeColor="background1"/>
              </w:rPr>
            </w:pPr>
            <w:r w:rsidRPr="007F090D">
              <w:rPr>
                <w:b/>
                <w:bCs/>
                <w:color w:val="FFFFFF" w:themeColor="background1"/>
              </w:rPr>
              <w:t>Mean response</w:t>
            </w:r>
          </w:p>
        </w:tc>
      </w:tr>
      <w:tr w:rsidR="007F090D" w:rsidRPr="007F090D" w14:paraId="0610C6AC" w14:textId="77777777" w:rsidTr="007F090D">
        <w:trPr>
          <w:cantSplit/>
          <w:trHeight w:val="648"/>
        </w:trPr>
        <w:tc>
          <w:tcPr>
            <w:tcW w:w="7338" w:type="dxa"/>
          </w:tcPr>
          <w:p w14:paraId="4CBFF4B9" w14:textId="77777777" w:rsidR="00F85F27" w:rsidRPr="007F090D" w:rsidRDefault="00F85F27" w:rsidP="004F4951">
            <w:r w:rsidRPr="007F090D">
              <w:t>Clarity of the role of government agencies, with regard to biosecurity</w:t>
            </w:r>
          </w:p>
        </w:tc>
        <w:tc>
          <w:tcPr>
            <w:tcW w:w="2268" w:type="dxa"/>
          </w:tcPr>
          <w:p w14:paraId="7B1C41AF" w14:textId="77777777" w:rsidR="00F85F27" w:rsidRPr="007F090D" w:rsidRDefault="00F85F27" w:rsidP="00F85F27">
            <w:pPr>
              <w:jc w:val="center"/>
            </w:pPr>
            <w:r w:rsidRPr="007F090D">
              <w:t>5.2</w:t>
            </w:r>
          </w:p>
        </w:tc>
      </w:tr>
      <w:tr w:rsidR="007F090D" w:rsidRPr="007F090D" w14:paraId="313A89E5" w14:textId="77777777" w:rsidTr="007F090D">
        <w:trPr>
          <w:cnfStyle w:val="000000010000" w:firstRow="0" w:lastRow="0" w:firstColumn="0" w:lastColumn="0" w:oddVBand="0" w:evenVBand="0" w:oddHBand="0" w:evenHBand="1" w:firstRowFirstColumn="0" w:firstRowLastColumn="0" w:lastRowFirstColumn="0" w:lastRowLastColumn="0"/>
          <w:cantSplit/>
          <w:trHeight w:val="544"/>
        </w:trPr>
        <w:tc>
          <w:tcPr>
            <w:tcW w:w="7338" w:type="dxa"/>
          </w:tcPr>
          <w:p w14:paraId="4CA25DC5" w14:textId="77777777" w:rsidR="00F85F27" w:rsidRPr="007F090D" w:rsidRDefault="00F85F27" w:rsidP="004F4951">
            <w:r w:rsidRPr="007F090D">
              <w:t>Clarity of the role of industry, with regard to biosecurity</w:t>
            </w:r>
          </w:p>
        </w:tc>
        <w:tc>
          <w:tcPr>
            <w:tcW w:w="2268" w:type="dxa"/>
          </w:tcPr>
          <w:p w14:paraId="0BF42BA1" w14:textId="77777777" w:rsidR="00F85F27" w:rsidRPr="007F090D" w:rsidRDefault="00F85F27" w:rsidP="00F85F27">
            <w:pPr>
              <w:jc w:val="center"/>
            </w:pPr>
            <w:r w:rsidRPr="007F090D">
              <w:t>5.1</w:t>
            </w:r>
          </w:p>
        </w:tc>
      </w:tr>
      <w:tr w:rsidR="007F090D" w:rsidRPr="007F090D" w14:paraId="3CEF5079" w14:textId="77777777" w:rsidTr="007F090D">
        <w:trPr>
          <w:cantSplit/>
          <w:trHeight w:val="544"/>
        </w:trPr>
        <w:tc>
          <w:tcPr>
            <w:tcW w:w="7338" w:type="dxa"/>
          </w:tcPr>
          <w:p w14:paraId="2DC8D7D4" w14:textId="77777777" w:rsidR="00F85F27" w:rsidRPr="007F090D" w:rsidRDefault="00F85F27" w:rsidP="004F4951">
            <w:r w:rsidRPr="007F090D">
              <w:t>Clarity of the role of community, with regard to biosecurity</w:t>
            </w:r>
          </w:p>
        </w:tc>
        <w:tc>
          <w:tcPr>
            <w:tcW w:w="2268" w:type="dxa"/>
          </w:tcPr>
          <w:p w14:paraId="0D0CBE5B" w14:textId="77777777" w:rsidR="00F85F27" w:rsidRPr="007F090D" w:rsidRDefault="00F85F27" w:rsidP="00F85F27">
            <w:pPr>
              <w:jc w:val="center"/>
            </w:pPr>
            <w:r w:rsidRPr="007F090D">
              <w:t>5.0</w:t>
            </w:r>
          </w:p>
        </w:tc>
      </w:tr>
    </w:tbl>
    <w:p w14:paraId="771E513A" w14:textId="2511A1A2" w:rsidR="00F85F27" w:rsidRPr="00F85F27" w:rsidRDefault="00F85F27" w:rsidP="00F85F27">
      <w:pPr>
        <w:rPr>
          <w:sz w:val="20"/>
          <w:szCs w:val="20"/>
        </w:rPr>
      </w:pPr>
      <w:r w:rsidRPr="00F85F27">
        <w:rPr>
          <w:i/>
          <w:sz w:val="20"/>
          <w:szCs w:val="20"/>
        </w:rPr>
        <w:t>1 = not at all an issue; 6 = extremely important issue</w:t>
      </w:r>
    </w:p>
    <w:p w14:paraId="5075A486" w14:textId="77777777" w:rsidR="00AC08A1" w:rsidRDefault="00AC08A1" w:rsidP="00F85F27">
      <w:pPr>
        <w:sectPr w:rsidR="00AC08A1" w:rsidSect="00190F6F">
          <w:pgSz w:w="11907" w:h="16840" w:code="9"/>
          <w:pgMar w:top="1134" w:right="1440" w:bottom="1135" w:left="1440" w:header="709" w:footer="559" w:gutter="0"/>
          <w:cols w:space="708"/>
          <w:titlePg/>
          <w:docGrid w:linePitch="360"/>
        </w:sectPr>
      </w:pPr>
    </w:p>
    <w:p w14:paraId="4C359B3F" w14:textId="28E3D5AC" w:rsidR="00056F98" w:rsidRPr="00984B27" w:rsidRDefault="00462C6C" w:rsidP="006F66EF">
      <w:pPr>
        <w:pStyle w:val="Caption"/>
        <w:spacing w:line="264" w:lineRule="auto"/>
        <w:ind w:left="1134" w:hanging="1134"/>
        <w:rPr>
          <w:sz w:val="22"/>
          <w:szCs w:val="22"/>
        </w:rPr>
      </w:pPr>
      <w:proofErr w:type="gramStart"/>
      <w:r w:rsidRPr="00984B27">
        <w:rPr>
          <w:color w:val="auto"/>
          <w:sz w:val="22"/>
          <w:szCs w:val="22"/>
        </w:rPr>
        <w:lastRenderedPageBreak/>
        <w:t xml:space="preserve">Table </w:t>
      </w:r>
      <w:r w:rsidR="00D15231">
        <w:rPr>
          <w:color w:val="auto"/>
          <w:sz w:val="22"/>
          <w:szCs w:val="22"/>
        </w:rPr>
        <w:t>3</w:t>
      </w:r>
      <w:r w:rsidR="00C25602">
        <w:rPr>
          <w:color w:val="auto"/>
          <w:sz w:val="22"/>
          <w:szCs w:val="22"/>
        </w:rPr>
        <w:t>.</w:t>
      </w:r>
      <w:proofErr w:type="gramEnd"/>
      <w:r w:rsidRPr="00984B27">
        <w:rPr>
          <w:color w:val="auto"/>
          <w:sz w:val="22"/>
          <w:szCs w:val="22"/>
        </w:rPr>
        <w:t xml:space="preserve"> </w:t>
      </w:r>
      <w:r w:rsidR="006F66EF">
        <w:rPr>
          <w:color w:val="auto"/>
          <w:sz w:val="22"/>
          <w:szCs w:val="22"/>
        </w:rPr>
        <w:tab/>
      </w:r>
      <w:r w:rsidRPr="00984B27">
        <w:rPr>
          <w:color w:val="auto"/>
          <w:sz w:val="22"/>
          <w:szCs w:val="22"/>
        </w:rPr>
        <w:t>Biosecurity roles and responsibilities identified by stakeholders</w:t>
      </w:r>
    </w:p>
    <w:tbl>
      <w:tblPr>
        <w:tblStyle w:val="TableGrid"/>
        <w:tblW w:w="1488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3 - List of biosecurity roles and responsiilities identified by stakeholders"/>
      </w:tblPr>
      <w:tblGrid>
        <w:gridCol w:w="1560"/>
        <w:gridCol w:w="4678"/>
        <w:gridCol w:w="4961"/>
        <w:gridCol w:w="3686"/>
      </w:tblGrid>
      <w:tr w:rsidR="001E0969" w:rsidRPr="0066303F" w14:paraId="64CF4B5A" w14:textId="77777777" w:rsidTr="00C165B7">
        <w:trPr>
          <w:cantSplit/>
          <w:trHeight w:val="698"/>
          <w:tblHeader/>
        </w:trPr>
        <w:tc>
          <w:tcPr>
            <w:tcW w:w="1560" w:type="dxa"/>
            <w:shd w:val="clear" w:color="auto" w:fill="C2D69B" w:themeFill="accent3" w:themeFillTint="99"/>
          </w:tcPr>
          <w:p w14:paraId="3F918F50" w14:textId="77777777" w:rsidR="001E0969" w:rsidRPr="0066303F" w:rsidRDefault="001E0969" w:rsidP="00F85F27">
            <w:pPr>
              <w:spacing w:before="60" w:after="60" w:line="240" w:lineRule="auto"/>
              <w:rPr>
                <w:rFonts w:cs="Arial"/>
                <w:b/>
                <w:sz w:val="20"/>
                <w:szCs w:val="20"/>
              </w:rPr>
            </w:pPr>
            <w:r w:rsidRPr="0066303F">
              <w:rPr>
                <w:rFonts w:cs="Arial"/>
                <w:b/>
                <w:sz w:val="20"/>
                <w:szCs w:val="20"/>
              </w:rPr>
              <w:t>Stakeholder group</w:t>
            </w:r>
          </w:p>
        </w:tc>
        <w:tc>
          <w:tcPr>
            <w:tcW w:w="4678" w:type="dxa"/>
            <w:shd w:val="clear" w:color="auto" w:fill="C2D69B" w:themeFill="accent3" w:themeFillTint="99"/>
          </w:tcPr>
          <w:p w14:paraId="4E33B838" w14:textId="77777777" w:rsidR="001E0969" w:rsidRPr="0066303F" w:rsidRDefault="001E0969" w:rsidP="00F85F27">
            <w:pPr>
              <w:spacing w:before="60" w:after="60" w:line="240" w:lineRule="auto"/>
              <w:rPr>
                <w:rFonts w:cs="Arial"/>
                <w:b/>
                <w:sz w:val="20"/>
                <w:szCs w:val="20"/>
              </w:rPr>
            </w:pPr>
            <w:r w:rsidRPr="0066303F">
              <w:rPr>
                <w:rFonts w:cs="Arial"/>
                <w:b/>
                <w:sz w:val="20"/>
                <w:szCs w:val="20"/>
              </w:rPr>
              <w:t>Role / responsibility of</w:t>
            </w:r>
          </w:p>
          <w:p w14:paraId="312F131D" w14:textId="77777777" w:rsidR="001E0969" w:rsidRPr="0066303F" w:rsidRDefault="001E0969" w:rsidP="00F85F27">
            <w:pPr>
              <w:spacing w:before="60" w:after="60" w:line="240" w:lineRule="auto"/>
              <w:rPr>
                <w:rFonts w:cs="Arial"/>
                <w:b/>
                <w:sz w:val="20"/>
                <w:szCs w:val="20"/>
              </w:rPr>
            </w:pPr>
            <w:r w:rsidRPr="0066303F">
              <w:rPr>
                <w:rFonts w:cs="Arial"/>
                <w:b/>
                <w:sz w:val="20"/>
                <w:szCs w:val="20"/>
              </w:rPr>
              <w:t>Industry</w:t>
            </w:r>
          </w:p>
        </w:tc>
        <w:tc>
          <w:tcPr>
            <w:tcW w:w="4961" w:type="dxa"/>
            <w:shd w:val="clear" w:color="auto" w:fill="C2D69B" w:themeFill="accent3" w:themeFillTint="99"/>
          </w:tcPr>
          <w:p w14:paraId="75FD000C" w14:textId="77777777" w:rsidR="001E0969" w:rsidRPr="0066303F" w:rsidRDefault="001E0969" w:rsidP="00F85F27">
            <w:pPr>
              <w:spacing w:before="60" w:after="60" w:line="240" w:lineRule="auto"/>
              <w:rPr>
                <w:rFonts w:cs="Arial"/>
                <w:b/>
                <w:sz w:val="20"/>
                <w:szCs w:val="20"/>
              </w:rPr>
            </w:pPr>
            <w:r w:rsidRPr="0066303F">
              <w:rPr>
                <w:rFonts w:cs="Arial"/>
                <w:b/>
                <w:sz w:val="20"/>
                <w:szCs w:val="20"/>
              </w:rPr>
              <w:t>Role / responsibility of</w:t>
            </w:r>
          </w:p>
          <w:p w14:paraId="05F7B543" w14:textId="77777777" w:rsidR="001E0969" w:rsidRPr="0066303F" w:rsidRDefault="001E0969" w:rsidP="00F85F27">
            <w:pPr>
              <w:spacing w:before="60" w:after="60" w:line="240" w:lineRule="auto"/>
              <w:rPr>
                <w:rFonts w:cs="Arial"/>
                <w:b/>
                <w:sz w:val="20"/>
                <w:szCs w:val="20"/>
              </w:rPr>
            </w:pPr>
            <w:r w:rsidRPr="0066303F">
              <w:rPr>
                <w:rFonts w:cs="Arial"/>
                <w:b/>
                <w:sz w:val="20"/>
                <w:szCs w:val="20"/>
              </w:rPr>
              <w:t>Government</w:t>
            </w:r>
          </w:p>
        </w:tc>
        <w:tc>
          <w:tcPr>
            <w:tcW w:w="3686" w:type="dxa"/>
            <w:shd w:val="clear" w:color="auto" w:fill="C2D69B" w:themeFill="accent3" w:themeFillTint="99"/>
          </w:tcPr>
          <w:p w14:paraId="0AF18A35" w14:textId="77777777" w:rsidR="001E0969" w:rsidRPr="0066303F" w:rsidRDefault="001E0969" w:rsidP="00F85F27">
            <w:pPr>
              <w:spacing w:before="60" w:after="60" w:line="240" w:lineRule="auto"/>
              <w:rPr>
                <w:rFonts w:cs="Arial"/>
                <w:b/>
                <w:sz w:val="20"/>
                <w:szCs w:val="20"/>
              </w:rPr>
            </w:pPr>
            <w:r w:rsidRPr="0066303F">
              <w:rPr>
                <w:rFonts w:cs="Arial"/>
                <w:b/>
                <w:sz w:val="20"/>
                <w:szCs w:val="20"/>
              </w:rPr>
              <w:t>Role / responsibility of</w:t>
            </w:r>
          </w:p>
          <w:p w14:paraId="6F4FD5F0" w14:textId="77777777" w:rsidR="001E0969" w:rsidRPr="0066303F" w:rsidRDefault="001E0969" w:rsidP="00F85F27">
            <w:pPr>
              <w:spacing w:before="60" w:after="60" w:line="240" w:lineRule="auto"/>
              <w:rPr>
                <w:rFonts w:cs="Arial"/>
                <w:b/>
                <w:sz w:val="20"/>
                <w:szCs w:val="20"/>
              </w:rPr>
            </w:pPr>
            <w:r w:rsidRPr="0066303F">
              <w:rPr>
                <w:rFonts w:cs="Arial"/>
                <w:b/>
                <w:sz w:val="20"/>
                <w:szCs w:val="20"/>
              </w:rPr>
              <w:t>Community</w:t>
            </w:r>
          </w:p>
        </w:tc>
      </w:tr>
      <w:tr w:rsidR="001E0969" w:rsidRPr="0066303F" w14:paraId="5BAA6AB9" w14:textId="77777777" w:rsidTr="00C165B7">
        <w:trPr>
          <w:cantSplit/>
          <w:trHeight w:val="2834"/>
        </w:trPr>
        <w:tc>
          <w:tcPr>
            <w:tcW w:w="1560" w:type="dxa"/>
          </w:tcPr>
          <w:p w14:paraId="7F8A9C93" w14:textId="77777777" w:rsidR="00732DE7" w:rsidRPr="0066303F" w:rsidRDefault="001E0969" w:rsidP="00F85F27">
            <w:pPr>
              <w:spacing w:before="60" w:line="240" w:lineRule="auto"/>
              <w:rPr>
                <w:rFonts w:cs="Arial"/>
                <w:sz w:val="20"/>
                <w:szCs w:val="20"/>
              </w:rPr>
            </w:pPr>
            <w:r w:rsidRPr="0066303F">
              <w:rPr>
                <w:rFonts w:cs="Arial"/>
                <w:sz w:val="20"/>
                <w:szCs w:val="20"/>
              </w:rPr>
              <w:t>Industry</w:t>
            </w:r>
          </w:p>
        </w:tc>
        <w:tc>
          <w:tcPr>
            <w:tcW w:w="4678" w:type="dxa"/>
          </w:tcPr>
          <w:p w14:paraId="03A5AE4A" w14:textId="77777777" w:rsidR="00FF062C" w:rsidRPr="0066303F" w:rsidRDefault="00FF062C" w:rsidP="00E36846">
            <w:pPr>
              <w:pStyle w:val="ListParagraph"/>
              <w:numPr>
                <w:ilvl w:val="0"/>
                <w:numId w:val="12"/>
              </w:numPr>
              <w:rPr>
                <w:sz w:val="20"/>
                <w:szCs w:val="20"/>
              </w:rPr>
            </w:pPr>
            <w:r w:rsidRPr="0066303F">
              <w:rPr>
                <w:sz w:val="20"/>
                <w:szCs w:val="20"/>
              </w:rPr>
              <w:t>Participation / active engagement in control/ management (27%)</w:t>
            </w:r>
          </w:p>
          <w:p w14:paraId="061BFC2B" w14:textId="77777777" w:rsidR="001E0969" w:rsidRPr="0066303F" w:rsidRDefault="001E0969" w:rsidP="00E36846">
            <w:pPr>
              <w:pStyle w:val="ListParagraph"/>
              <w:numPr>
                <w:ilvl w:val="0"/>
                <w:numId w:val="12"/>
              </w:numPr>
              <w:rPr>
                <w:sz w:val="20"/>
                <w:szCs w:val="20"/>
              </w:rPr>
            </w:pPr>
            <w:r w:rsidRPr="0066303F">
              <w:rPr>
                <w:sz w:val="20"/>
                <w:szCs w:val="20"/>
              </w:rPr>
              <w:t>Surveillance / reporting</w:t>
            </w:r>
            <w:r w:rsidR="00FF062C" w:rsidRPr="0066303F">
              <w:rPr>
                <w:sz w:val="20"/>
                <w:szCs w:val="20"/>
              </w:rPr>
              <w:t xml:space="preserve"> (17%)</w:t>
            </w:r>
          </w:p>
          <w:p w14:paraId="7AA5A255" w14:textId="77777777" w:rsidR="001E0969" w:rsidRPr="0066303F" w:rsidRDefault="001E0969" w:rsidP="00E36846">
            <w:pPr>
              <w:pStyle w:val="ListParagraph"/>
              <w:numPr>
                <w:ilvl w:val="0"/>
                <w:numId w:val="12"/>
              </w:numPr>
              <w:rPr>
                <w:sz w:val="20"/>
                <w:szCs w:val="20"/>
              </w:rPr>
            </w:pPr>
            <w:r w:rsidRPr="0066303F">
              <w:rPr>
                <w:sz w:val="20"/>
                <w:szCs w:val="20"/>
              </w:rPr>
              <w:t>Engage with industry</w:t>
            </w:r>
            <w:r w:rsidR="00FF062C" w:rsidRPr="0066303F">
              <w:rPr>
                <w:sz w:val="20"/>
                <w:szCs w:val="20"/>
              </w:rPr>
              <w:t xml:space="preserve"> – raise awareness (14%)</w:t>
            </w:r>
          </w:p>
          <w:p w14:paraId="3F51973B" w14:textId="77777777" w:rsidR="00FF062C" w:rsidRPr="0066303F" w:rsidRDefault="00FF062C" w:rsidP="00E36846">
            <w:pPr>
              <w:pStyle w:val="ListParagraph"/>
              <w:numPr>
                <w:ilvl w:val="0"/>
                <w:numId w:val="12"/>
              </w:numPr>
              <w:rPr>
                <w:sz w:val="20"/>
                <w:szCs w:val="20"/>
              </w:rPr>
            </w:pPr>
            <w:r w:rsidRPr="0066303F">
              <w:rPr>
                <w:sz w:val="20"/>
                <w:szCs w:val="20"/>
              </w:rPr>
              <w:t>To be aware / have an understanding (10%)</w:t>
            </w:r>
          </w:p>
          <w:p w14:paraId="3823921E" w14:textId="77777777" w:rsidR="00FF062C" w:rsidRPr="0066303F" w:rsidRDefault="001E0969" w:rsidP="00E36846">
            <w:pPr>
              <w:pStyle w:val="ListParagraph"/>
              <w:numPr>
                <w:ilvl w:val="0"/>
                <w:numId w:val="12"/>
              </w:numPr>
              <w:rPr>
                <w:sz w:val="20"/>
                <w:szCs w:val="20"/>
              </w:rPr>
            </w:pPr>
            <w:r w:rsidRPr="0066303F">
              <w:rPr>
                <w:sz w:val="20"/>
                <w:szCs w:val="20"/>
              </w:rPr>
              <w:t>Engage with government</w:t>
            </w:r>
            <w:r w:rsidR="00FF062C" w:rsidRPr="0066303F">
              <w:rPr>
                <w:sz w:val="20"/>
                <w:szCs w:val="20"/>
              </w:rPr>
              <w:t xml:space="preserve"> (10%) </w:t>
            </w:r>
          </w:p>
          <w:p w14:paraId="47A96104" w14:textId="77777777" w:rsidR="001E0969" w:rsidRPr="0066303F" w:rsidRDefault="00FF062C" w:rsidP="00E36846">
            <w:pPr>
              <w:pStyle w:val="ListParagraph"/>
              <w:numPr>
                <w:ilvl w:val="0"/>
                <w:numId w:val="12"/>
              </w:numPr>
              <w:rPr>
                <w:sz w:val="20"/>
                <w:szCs w:val="20"/>
              </w:rPr>
            </w:pPr>
            <w:r w:rsidRPr="0066303F">
              <w:rPr>
                <w:sz w:val="20"/>
                <w:szCs w:val="20"/>
              </w:rPr>
              <w:t>Provide funds for industry-wide biosecurity activity (8%)</w:t>
            </w:r>
          </w:p>
        </w:tc>
        <w:tc>
          <w:tcPr>
            <w:tcW w:w="4961" w:type="dxa"/>
          </w:tcPr>
          <w:p w14:paraId="47FBA14E" w14:textId="77777777" w:rsidR="00A937B7" w:rsidRPr="0066303F" w:rsidRDefault="00353690" w:rsidP="00E36846">
            <w:pPr>
              <w:pStyle w:val="ListParagraph"/>
              <w:numPr>
                <w:ilvl w:val="0"/>
                <w:numId w:val="12"/>
              </w:numPr>
              <w:rPr>
                <w:sz w:val="20"/>
                <w:szCs w:val="20"/>
              </w:rPr>
            </w:pPr>
            <w:r w:rsidRPr="0066303F">
              <w:rPr>
                <w:sz w:val="20"/>
                <w:szCs w:val="20"/>
              </w:rPr>
              <w:t>Have the</w:t>
            </w:r>
            <w:r w:rsidR="00A937B7" w:rsidRPr="0066303F">
              <w:rPr>
                <w:sz w:val="20"/>
                <w:szCs w:val="20"/>
              </w:rPr>
              <w:t xml:space="preserve"> resources (16%)</w:t>
            </w:r>
          </w:p>
          <w:p w14:paraId="1B6818C9" w14:textId="77777777" w:rsidR="00A937B7" w:rsidRPr="0066303F" w:rsidRDefault="00A937B7" w:rsidP="00E36846">
            <w:pPr>
              <w:pStyle w:val="ListParagraph"/>
              <w:numPr>
                <w:ilvl w:val="0"/>
                <w:numId w:val="12"/>
              </w:numPr>
              <w:rPr>
                <w:sz w:val="20"/>
                <w:szCs w:val="20"/>
              </w:rPr>
            </w:pPr>
            <w:r w:rsidRPr="0066303F">
              <w:rPr>
                <w:sz w:val="20"/>
                <w:szCs w:val="20"/>
              </w:rPr>
              <w:t>Coordinate /provide leadership (15%)</w:t>
            </w:r>
          </w:p>
          <w:p w14:paraId="038B9CA2" w14:textId="77777777" w:rsidR="00A937B7" w:rsidRPr="0066303F" w:rsidRDefault="00A937B7" w:rsidP="00E36846">
            <w:pPr>
              <w:pStyle w:val="ListParagraph"/>
              <w:numPr>
                <w:ilvl w:val="0"/>
                <w:numId w:val="12"/>
              </w:numPr>
              <w:rPr>
                <w:sz w:val="20"/>
                <w:szCs w:val="20"/>
              </w:rPr>
            </w:pPr>
            <w:r w:rsidRPr="0066303F">
              <w:rPr>
                <w:sz w:val="20"/>
                <w:szCs w:val="20"/>
              </w:rPr>
              <w:t>Develop the protocols/policies (12%)</w:t>
            </w:r>
          </w:p>
          <w:p w14:paraId="1E049C84" w14:textId="77777777" w:rsidR="00A937B7" w:rsidRPr="0066303F" w:rsidRDefault="00A937B7" w:rsidP="00E36846">
            <w:pPr>
              <w:pStyle w:val="ListParagraph"/>
              <w:numPr>
                <w:ilvl w:val="0"/>
                <w:numId w:val="12"/>
              </w:numPr>
              <w:rPr>
                <w:sz w:val="20"/>
                <w:szCs w:val="20"/>
              </w:rPr>
            </w:pPr>
            <w:r w:rsidRPr="0066303F">
              <w:rPr>
                <w:sz w:val="20"/>
                <w:szCs w:val="20"/>
              </w:rPr>
              <w:t>Communication and extension (12%)</w:t>
            </w:r>
          </w:p>
          <w:p w14:paraId="31F52721" w14:textId="77777777" w:rsidR="00353690" w:rsidRPr="0066303F" w:rsidRDefault="00353690" w:rsidP="00E36846">
            <w:pPr>
              <w:pStyle w:val="ListParagraph"/>
              <w:numPr>
                <w:ilvl w:val="0"/>
                <w:numId w:val="12"/>
              </w:numPr>
              <w:rPr>
                <w:sz w:val="20"/>
                <w:szCs w:val="20"/>
              </w:rPr>
            </w:pPr>
            <w:r w:rsidRPr="0066303F">
              <w:rPr>
                <w:sz w:val="20"/>
                <w:szCs w:val="20"/>
              </w:rPr>
              <w:t>Provide support / guidance (technical expertise) (12%)</w:t>
            </w:r>
          </w:p>
          <w:p w14:paraId="24EAF927" w14:textId="77777777" w:rsidR="00A937B7" w:rsidRPr="0066303F" w:rsidRDefault="00A937B7" w:rsidP="00E36846">
            <w:pPr>
              <w:pStyle w:val="ListParagraph"/>
              <w:numPr>
                <w:ilvl w:val="0"/>
                <w:numId w:val="12"/>
              </w:numPr>
              <w:rPr>
                <w:sz w:val="20"/>
                <w:szCs w:val="20"/>
              </w:rPr>
            </w:pPr>
            <w:r w:rsidRPr="0066303F">
              <w:rPr>
                <w:sz w:val="20"/>
                <w:szCs w:val="20"/>
              </w:rPr>
              <w:t>Collaborate (10%)</w:t>
            </w:r>
          </w:p>
          <w:p w14:paraId="656510AD" w14:textId="46DAD00A" w:rsidR="00243A62" w:rsidRPr="0066303F" w:rsidRDefault="00243A62" w:rsidP="00E36846">
            <w:pPr>
              <w:pStyle w:val="ListParagraph"/>
              <w:numPr>
                <w:ilvl w:val="0"/>
                <w:numId w:val="12"/>
              </w:numPr>
              <w:rPr>
                <w:sz w:val="20"/>
                <w:szCs w:val="20"/>
              </w:rPr>
            </w:pPr>
            <w:r w:rsidRPr="0066303F">
              <w:rPr>
                <w:sz w:val="20"/>
                <w:szCs w:val="20"/>
              </w:rPr>
              <w:t>Enforc</w:t>
            </w:r>
            <w:r w:rsidR="00A125AB" w:rsidRPr="0066303F">
              <w:rPr>
                <w:sz w:val="20"/>
                <w:szCs w:val="20"/>
              </w:rPr>
              <w:t>e</w:t>
            </w:r>
            <w:r w:rsidRPr="0066303F">
              <w:rPr>
                <w:sz w:val="20"/>
                <w:szCs w:val="20"/>
              </w:rPr>
              <w:t xml:space="preserve"> legislation (8%)</w:t>
            </w:r>
          </w:p>
          <w:p w14:paraId="713DAFEF" w14:textId="77777777" w:rsidR="001E0969" w:rsidRPr="0066303F" w:rsidRDefault="00A937B7" w:rsidP="00E36846">
            <w:pPr>
              <w:pStyle w:val="ListParagraph"/>
              <w:numPr>
                <w:ilvl w:val="0"/>
                <w:numId w:val="12"/>
              </w:numPr>
              <w:rPr>
                <w:sz w:val="20"/>
                <w:szCs w:val="20"/>
              </w:rPr>
            </w:pPr>
            <w:r w:rsidRPr="0066303F">
              <w:rPr>
                <w:sz w:val="20"/>
                <w:szCs w:val="20"/>
              </w:rPr>
              <w:t>Prevent and respond (7%)</w:t>
            </w:r>
          </w:p>
        </w:tc>
        <w:tc>
          <w:tcPr>
            <w:tcW w:w="3686" w:type="dxa"/>
          </w:tcPr>
          <w:p w14:paraId="66936406" w14:textId="77777777" w:rsidR="008354B2" w:rsidRPr="0066303F" w:rsidRDefault="008354B2" w:rsidP="00E36846">
            <w:pPr>
              <w:pStyle w:val="ListParagraph"/>
              <w:numPr>
                <w:ilvl w:val="0"/>
                <w:numId w:val="12"/>
              </w:numPr>
              <w:rPr>
                <w:sz w:val="20"/>
                <w:szCs w:val="20"/>
              </w:rPr>
            </w:pPr>
            <w:r w:rsidRPr="0066303F">
              <w:rPr>
                <w:sz w:val="20"/>
                <w:szCs w:val="20"/>
              </w:rPr>
              <w:t>To be aware / have an understanding (37%)</w:t>
            </w:r>
          </w:p>
          <w:p w14:paraId="3F71324A" w14:textId="77777777" w:rsidR="008354B2" w:rsidRPr="0066303F" w:rsidRDefault="008354B2" w:rsidP="00E36846">
            <w:pPr>
              <w:pStyle w:val="ListParagraph"/>
              <w:numPr>
                <w:ilvl w:val="0"/>
                <w:numId w:val="12"/>
              </w:numPr>
              <w:rPr>
                <w:sz w:val="20"/>
                <w:szCs w:val="20"/>
              </w:rPr>
            </w:pPr>
            <w:r w:rsidRPr="0066303F">
              <w:rPr>
                <w:sz w:val="20"/>
                <w:szCs w:val="20"/>
              </w:rPr>
              <w:t>Participation / active engagement in control/ management (30%)</w:t>
            </w:r>
          </w:p>
          <w:p w14:paraId="74A3213D" w14:textId="77777777" w:rsidR="001E0969" w:rsidRPr="0066303F" w:rsidRDefault="001E0969" w:rsidP="00E36846">
            <w:pPr>
              <w:pStyle w:val="ListParagraph"/>
              <w:numPr>
                <w:ilvl w:val="0"/>
                <w:numId w:val="12"/>
              </w:numPr>
              <w:rPr>
                <w:sz w:val="20"/>
                <w:szCs w:val="20"/>
              </w:rPr>
            </w:pPr>
            <w:r w:rsidRPr="0066303F">
              <w:rPr>
                <w:sz w:val="20"/>
                <w:szCs w:val="20"/>
              </w:rPr>
              <w:t>Surveillance / reporting</w:t>
            </w:r>
            <w:r w:rsidR="00E82DC0" w:rsidRPr="0066303F">
              <w:rPr>
                <w:sz w:val="20"/>
                <w:szCs w:val="20"/>
              </w:rPr>
              <w:t xml:space="preserve"> (21%)</w:t>
            </w:r>
          </w:p>
          <w:p w14:paraId="313F11A1" w14:textId="77777777" w:rsidR="008354B2" w:rsidRPr="0066303F" w:rsidRDefault="008354B2" w:rsidP="00E36846">
            <w:pPr>
              <w:pStyle w:val="ListParagraph"/>
              <w:numPr>
                <w:ilvl w:val="0"/>
                <w:numId w:val="12"/>
              </w:numPr>
              <w:rPr>
                <w:sz w:val="20"/>
                <w:szCs w:val="20"/>
              </w:rPr>
            </w:pPr>
            <w:r w:rsidRPr="0066303F">
              <w:rPr>
                <w:sz w:val="20"/>
                <w:szCs w:val="20"/>
              </w:rPr>
              <w:t>Influence government (4%)</w:t>
            </w:r>
          </w:p>
          <w:p w14:paraId="5B9419B0" w14:textId="77777777" w:rsidR="008354B2" w:rsidRPr="0066303F" w:rsidRDefault="001E0969" w:rsidP="00E36846">
            <w:pPr>
              <w:pStyle w:val="ListParagraph"/>
              <w:numPr>
                <w:ilvl w:val="0"/>
                <w:numId w:val="12"/>
              </w:numPr>
              <w:rPr>
                <w:sz w:val="20"/>
                <w:szCs w:val="20"/>
              </w:rPr>
            </w:pPr>
            <w:r w:rsidRPr="0066303F">
              <w:rPr>
                <w:sz w:val="20"/>
                <w:szCs w:val="20"/>
              </w:rPr>
              <w:t>Minimise the risk</w:t>
            </w:r>
            <w:r w:rsidR="008354B2" w:rsidRPr="0066303F">
              <w:rPr>
                <w:sz w:val="20"/>
                <w:szCs w:val="20"/>
              </w:rPr>
              <w:t xml:space="preserve"> (4%)</w:t>
            </w:r>
          </w:p>
        </w:tc>
      </w:tr>
      <w:tr w:rsidR="001E0969" w:rsidRPr="0066303F" w14:paraId="2810DFCF" w14:textId="77777777" w:rsidTr="00C165B7">
        <w:trPr>
          <w:cantSplit/>
          <w:trHeight w:val="2832"/>
        </w:trPr>
        <w:tc>
          <w:tcPr>
            <w:tcW w:w="1560" w:type="dxa"/>
            <w:shd w:val="clear" w:color="auto" w:fill="F2F2F2" w:themeFill="background1" w:themeFillShade="F2"/>
          </w:tcPr>
          <w:p w14:paraId="33CD29BA" w14:textId="77777777" w:rsidR="001E0969" w:rsidRPr="0066303F" w:rsidRDefault="001E0969" w:rsidP="00F85F27">
            <w:pPr>
              <w:spacing w:before="60" w:line="240" w:lineRule="auto"/>
              <w:rPr>
                <w:rFonts w:cs="Arial"/>
                <w:sz w:val="20"/>
                <w:szCs w:val="20"/>
              </w:rPr>
            </w:pPr>
            <w:r w:rsidRPr="0066303F">
              <w:rPr>
                <w:rFonts w:cs="Arial"/>
                <w:sz w:val="20"/>
                <w:szCs w:val="20"/>
              </w:rPr>
              <w:t>Government</w:t>
            </w:r>
          </w:p>
        </w:tc>
        <w:tc>
          <w:tcPr>
            <w:tcW w:w="4678" w:type="dxa"/>
            <w:shd w:val="clear" w:color="auto" w:fill="F2F2F2" w:themeFill="background1" w:themeFillShade="F2"/>
          </w:tcPr>
          <w:p w14:paraId="60C69B56" w14:textId="77777777" w:rsidR="00580EF2" w:rsidRPr="0066303F" w:rsidRDefault="00580EF2" w:rsidP="00E36846">
            <w:pPr>
              <w:pStyle w:val="ListParagraph"/>
              <w:numPr>
                <w:ilvl w:val="0"/>
                <w:numId w:val="12"/>
              </w:numPr>
              <w:rPr>
                <w:sz w:val="20"/>
                <w:szCs w:val="20"/>
              </w:rPr>
            </w:pPr>
            <w:r w:rsidRPr="0066303F">
              <w:rPr>
                <w:sz w:val="20"/>
                <w:szCs w:val="20"/>
              </w:rPr>
              <w:t>Participation / active engagement in control/ management (21%)</w:t>
            </w:r>
          </w:p>
          <w:p w14:paraId="3E42191F" w14:textId="77777777" w:rsidR="001E0969" w:rsidRPr="0066303F" w:rsidRDefault="001E0969" w:rsidP="00E36846">
            <w:pPr>
              <w:pStyle w:val="ListParagraph"/>
              <w:numPr>
                <w:ilvl w:val="0"/>
                <w:numId w:val="12"/>
              </w:numPr>
              <w:rPr>
                <w:sz w:val="20"/>
                <w:szCs w:val="20"/>
              </w:rPr>
            </w:pPr>
            <w:r w:rsidRPr="0066303F">
              <w:rPr>
                <w:sz w:val="20"/>
                <w:szCs w:val="20"/>
              </w:rPr>
              <w:t>Fund biosecurity</w:t>
            </w:r>
            <w:r w:rsidR="00580EF2" w:rsidRPr="0066303F">
              <w:rPr>
                <w:sz w:val="20"/>
                <w:szCs w:val="20"/>
              </w:rPr>
              <w:t xml:space="preserve"> (18%)</w:t>
            </w:r>
          </w:p>
          <w:p w14:paraId="08CA7CCD" w14:textId="77777777" w:rsidR="00580EF2" w:rsidRPr="0066303F" w:rsidRDefault="00580EF2" w:rsidP="00E36846">
            <w:pPr>
              <w:pStyle w:val="ListParagraph"/>
              <w:numPr>
                <w:ilvl w:val="0"/>
                <w:numId w:val="12"/>
              </w:numPr>
              <w:rPr>
                <w:sz w:val="20"/>
                <w:szCs w:val="20"/>
              </w:rPr>
            </w:pPr>
            <w:r w:rsidRPr="0066303F">
              <w:rPr>
                <w:sz w:val="20"/>
                <w:szCs w:val="20"/>
              </w:rPr>
              <w:t>Raise awareness within the industry (17%)</w:t>
            </w:r>
          </w:p>
          <w:p w14:paraId="5B228356" w14:textId="77777777" w:rsidR="00214396" w:rsidRPr="0066303F" w:rsidRDefault="00214396" w:rsidP="00E36846">
            <w:pPr>
              <w:pStyle w:val="ListParagraph"/>
              <w:numPr>
                <w:ilvl w:val="0"/>
                <w:numId w:val="12"/>
              </w:numPr>
              <w:rPr>
                <w:sz w:val="20"/>
                <w:szCs w:val="20"/>
              </w:rPr>
            </w:pPr>
            <w:r w:rsidRPr="0066303F">
              <w:rPr>
                <w:sz w:val="20"/>
                <w:szCs w:val="20"/>
              </w:rPr>
              <w:t>Work with government (12%)</w:t>
            </w:r>
          </w:p>
          <w:p w14:paraId="5615634A" w14:textId="77777777" w:rsidR="00214396" w:rsidRPr="0066303F" w:rsidRDefault="00214396" w:rsidP="00E36846">
            <w:pPr>
              <w:pStyle w:val="ListParagraph"/>
              <w:numPr>
                <w:ilvl w:val="0"/>
                <w:numId w:val="12"/>
              </w:numPr>
              <w:rPr>
                <w:sz w:val="20"/>
                <w:szCs w:val="20"/>
              </w:rPr>
            </w:pPr>
            <w:r w:rsidRPr="0066303F">
              <w:rPr>
                <w:sz w:val="20"/>
                <w:szCs w:val="20"/>
              </w:rPr>
              <w:t>Surveillance / reporting (11%)</w:t>
            </w:r>
          </w:p>
          <w:p w14:paraId="0D8F010D" w14:textId="77777777" w:rsidR="00580EF2" w:rsidRPr="0066303F" w:rsidRDefault="00580EF2" w:rsidP="00E36846">
            <w:pPr>
              <w:pStyle w:val="ListParagraph"/>
              <w:numPr>
                <w:ilvl w:val="0"/>
                <w:numId w:val="12"/>
              </w:numPr>
              <w:rPr>
                <w:sz w:val="20"/>
                <w:szCs w:val="20"/>
              </w:rPr>
            </w:pPr>
            <w:r w:rsidRPr="0066303F">
              <w:rPr>
                <w:sz w:val="20"/>
                <w:szCs w:val="20"/>
              </w:rPr>
              <w:t>Comply with legislation (8%)</w:t>
            </w:r>
          </w:p>
          <w:p w14:paraId="42280A2B" w14:textId="77777777" w:rsidR="00580EF2" w:rsidRPr="0066303F" w:rsidRDefault="00580EF2" w:rsidP="00E36846">
            <w:pPr>
              <w:pStyle w:val="ListParagraph"/>
              <w:numPr>
                <w:ilvl w:val="0"/>
                <w:numId w:val="12"/>
              </w:numPr>
              <w:rPr>
                <w:sz w:val="20"/>
                <w:szCs w:val="20"/>
              </w:rPr>
            </w:pPr>
            <w:r w:rsidRPr="0066303F">
              <w:rPr>
                <w:sz w:val="20"/>
                <w:szCs w:val="20"/>
              </w:rPr>
              <w:t>Be aware / have an understanding (7%)</w:t>
            </w:r>
          </w:p>
        </w:tc>
        <w:tc>
          <w:tcPr>
            <w:tcW w:w="4961" w:type="dxa"/>
            <w:shd w:val="clear" w:color="auto" w:fill="F2F2F2" w:themeFill="background1" w:themeFillShade="F2"/>
          </w:tcPr>
          <w:p w14:paraId="151AE12D" w14:textId="77777777" w:rsidR="001E0969" w:rsidRPr="0066303F" w:rsidRDefault="00664D31" w:rsidP="00E36846">
            <w:pPr>
              <w:pStyle w:val="ListParagraph"/>
              <w:numPr>
                <w:ilvl w:val="0"/>
                <w:numId w:val="12"/>
              </w:numPr>
              <w:rPr>
                <w:sz w:val="20"/>
                <w:szCs w:val="20"/>
              </w:rPr>
            </w:pPr>
            <w:r w:rsidRPr="0066303F">
              <w:rPr>
                <w:sz w:val="20"/>
                <w:szCs w:val="20"/>
              </w:rPr>
              <w:t>Raise awareness / training / extension (13%)</w:t>
            </w:r>
          </w:p>
          <w:p w14:paraId="433D2EC0" w14:textId="77777777" w:rsidR="00664D31" w:rsidRPr="0066303F" w:rsidRDefault="00664D31" w:rsidP="00E36846">
            <w:pPr>
              <w:pStyle w:val="ListParagraph"/>
              <w:numPr>
                <w:ilvl w:val="0"/>
                <w:numId w:val="12"/>
              </w:numPr>
              <w:rPr>
                <w:sz w:val="20"/>
                <w:szCs w:val="20"/>
              </w:rPr>
            </w:pPr>
            <w:r w:rsidRPr="0066303F">
              <w:rPr>
                <w:sz w:val="20"/>
                <w:szCs w:val="20"/>
              </w:rPr>
              <w:t>Facilitate prevention / early detection / early eradication (13%)</w:t>
            </w:r>
          </w:p>
          <w:p w14:paraId="1D374675" w14:textId="77777777" w:rsidR="00664D31" w:rsidRPr="0066303F" w:rsidRDefault="00664D31" w:rsidP="00E36846">
            <w:pPr>
              <w:pStyle w:val="ListParagraph"/>
              <w:numPr>
                <w:ilvl w:val="0"/>
                <w:numId w:val="12"/>
              </w:numPr>
              <w:rPr>
                <w:sz w:val="20"/>
                <w:szCs w:val="20"/>
              </w:rPr>
            </w:pPr>
            <w:r w:rsidRPr="0066303F">
              <w:rPr>
                <w:sz w:val="20"/>
                <w:szCs w:val="20"/>
              </w:rPr>
              <w:t>Provide legislation / policies / processes (11%)</w:t>
            </w:r>
          </w:p>
          <w:p w14:paraId="6C96ADA6" w14:textId="77777777" w:rsidR="00664D31" w:rsidRPr="0066303F" w:rsidRDefault="00664D31" w:rsidP="00E36846">
            <w:pPr>
              <w:pStyle w:val="ListParagraph"/>
              <w:numPr>
                <w:ilvl w:val="0"/>
                <w:numId w:val="12"/>
              </w:numPr>
              <w:rPr>
                <w:sz w:val="20"/>
                <w:szCs w:val="20"/>
              </w:rPr>
            </w:pPr>
            <w:r w:rsidRPr="0066303F">
              <w:rPr>
                <w:sz w:val="20"/>
                <w:szCs w:val="20"/>
              </w:rPr>
              <w:t>Supporting industry / providing tools and advice (technical expertise) (11%)</w:t>
            </w:r>
          </w:p>
          <w:p w14:paraId="6B90AD84" w14:textId="77777777" w:rsidR="00664D31" w:rsidRPr="0066303F" w:rsidRDefault="00664D31" w:rsidP="00E36846">
            <w:pPr>
              <w:pStyle w:val="ListParagraph"/>
              <w:numPr>
                <w:ilvl w:val="0"/>
                <w:numId w:val="12"/>
              </w:numPr>
              <w:rPr>
                <w:sz w:val="20"/>
                <w:szCs w:val="20"/>
              </w:rPr>
            </w:pPr>
            <w:r w:rsidRPr="0066303F">
              <w:rPr>
                <w:sz w:val="20"/>
                <w:szCs w:val="20"/>
              </w:rPr>
              <w:t>Monitor compliance with legislation (11%)</w:t>
            </w:r>
          </w:p>
          <w:p w14:paraId="285D96AB" w14:textId="77777777" w:rsidR="001E0969" w:rsidRPr="0066303F" w:rsidRDefault="00A937B7" w:rsidP="00E36846">
            <w:pPr>
              <w:pStyle w:val="ListParagraph"/>
              <w:numPr>
                <w:ilvl w:val="0"/>
                <w:numId w:val="12"/>
              </w:numPr>
              <w:rPr>
                <w:sz w:val="20"/>
                <w:szCs w:val="20"/>
              </w:rPr>
            </w:pPr>
            <w:r w:rsidRPr="0066303F">
              <w:rPr>
                <w:sz w:val="20"/>
                <w:szCs w:val="20"/>
              </w:rPr>
              <w:t>Monitoring and surveillance (9%)</w:t>
            </w:r>
          </w:p>
          <w:p w14:paraId="2969DF63" w14:textId="77777777" w:rsidR="001E0969" w:rsidRPr="0066303F" w:rsidRDefault="001E0969" w:rsidP="00E36846">
            <w:pPr>
              <w:pStyle w:val="ListParagraph"/>
              <w:numPr>
                <w:ilvl w:val="0"/>
                <w:numId w:val="12"/>
              </w:numPr>
              <w:rPr>
                <w:sz w:val="20"/>
                <w:szCs w:val="20"/>
              </w:rPr>
            </w:pPr>
            <w:r w:rsidRPr="0066303F">
              <w:rPr>
                <w:sz w:val="20"/>
                <w:szCs w:val="20"/>
              </w:rPr>
              <w:t>Coordination</w:t>
            </w:r>
            <w:r w:rsidR="00A937B7" w:rsidRPr="0066303F">
              <w:rPr>
                <w:sz w:val="20"/>
                <w:szCs w:val="20"/>
              </w:rPr>
              <w:t xml:space="preserve"> and leadership (9%)</w:t>
            </w:r>
          </w:p>
          <w:p w14:paraId="5DAB9475" w14:textId="77777777" w:rsidR="001E0969" w:rsidRPr="0066303F" w:rsidRDefault="00664D31" w:rsidP="00E36846">
            <w:pPr>
              <w:pStyle w:val="ListParagraph"/>
              <w:numPr>
                <w:ilvl w:val="0"/>
                <w:numId w:val="12"/>
              </w:numPr>
              <w:rPr>
                <w:sz w:val="20"/>
                <w:szCs w:val="20"/>
              </w:rPr>
            </w:pPr>
            <w:r w:rsidRPr="0066303F">
              <w:rPr>
                <w:sz w:val="20"/>
                <w:szCs w:val="20"/>
              </w:rPr>
              <w:t>Ensuring the public good is protected, including (broad) industry (5%)</w:t>
            </w:r>
          </w:p>
        </w:tc>
        <w:tc>
          <w:tcPr>
            <w:tcW w:w="3686" w:type="dxa"/>
            <w:shd w:val="clear" w:color="auto" w:fill="F2F2F2" w:themeFill="background1" w:themeFillShade="F2"/>
          </w:tcPr>
          <w:p w14:paraId="1A6B2EE3" w14:textId="77777777" w:rsidR="00E82DC0" w:rsidRPr="0066303F" w:rsidRDefault="00E82DC0" w:rsidP="00E36846">
            <w:pPr>
              <w:pStyle w:val="ListParagraph"/>
              <w:numPr>
                <w:ilvl w:val="0"/>
                <w:numId w:val="12"/>
              </w:numPr>
              <w:rPr>
                <w:sz w:val="20"/>
                <w:szCs w:val="20"/>
              </w:rPr>
            </w:pPr>
            <w:r w:rsidRPr="0066303F">
              <w:rPr>
                <w:sz w:val="20"/>
                <w:szCs w:val="20"/>
              </w:rPr>
              <w:t>To be aware / have an understanding (31%)</w:t>
            </w:r>
          </w:p>
          <w:p w14:paraId="1CF280E6" w14:textId="77777777" w:rsidR="001E0969" w:rsidRPr="0066303F" w:rsidRDefault="001E0969" w:rsidP="00E36846">
            <w:pPr>
              <w:pStyle w:val="ListParagraph"/>
              <w:numPr>
                <w:ilvl w:val="0"/>
                <w:numId w:val="12"/>
              </w:numPr>
              <w:rPr>
                <w:sz w:val="20"/>
                <w:szCs w:val="20"/>
              </w:rPr>
            </w:pPr>
            <w:r w:rsidRPr="0066303F">
              <w:rPr>
                <w:sz w:val="20"/>
                <w:szCs w:val="20"/>
              </w:rPr>
              <w:t>Surveillance / reporting</w:t>
            </w:r>
            <w:r w:rsidR="00E82DC0" w:rsidRPr="0066303F">
              <w:rPr>
                <w:sz w:val="20"/>
                <w:szCs w:val="20"/>
              </w:rPr>
              <w:t xml:space="preserve"> (29%)</w:t>
            </w:r>
          </w:p>
          <w:p w14:paraId="1E47C781" w14:textId="77777777" w:rsidR="001E0969" w:rsidRPr="0066303F" w:rsidRDefault="00E82DC0" w:rsidP="00E36846">
            <w:pPr>
              <w:pStyle w:val="ListParagraph"/>
              <w:numPr>
                <w:ilvl w:val="0"/>
                <w:numId w:val="12"/>
              </w:numPr>
              <w:rPr>
                <w:sz w:val="20"/>
                <w:szCs w:val="20"/>
              </w:rPr>
            </w:pPr>
            <w:r w:rsidRPr="0066303F">
              <w:rPr>
                <w:sz w:val="20"/>
                <w:szCs w:val="20"/>
              </w:rPr>
              <w:t>Participation / active engagement in control/</w:t>
            </w:r>
            <w:r w:rsidR="001E0969" w:rsidRPr="0066303F">
              <w:rPr>
                <w:sz w:val="20"/>
                <w:szCs w:val="20"/>
              </w:rPr>
              <w:t xml:space="preserve"> management </w:t>
            </w:r>
            <w:r w:rsidRPr="0066303F">
              <w:rPr>
                <w:sz w:val="20"/>
                <w:szCs w:val="20"/>
              </w:rPr>
              <w:t>(18%)</w:t>
            </w:r>
          </w:p>
          <w:p w14:paraId="42BD726F" w14:textId="77777777" w:rsidR="00E82DC0" w:rsidRPr="0066303F" w:rsidRDefault="00E82DC0" w:rsidP="00E36846">
            <w:pPr>
              <w:pStyle w:val="ListParagraph"/>
              <w:numPr>
                <w:ilvl w:val="0"/>
                <w:numId w:val="12"/>
              </w:numPr>
              <w:rPr>
                <w:sz w:val="20"/>
                <w:szCs w:val="20"/>
              </w:rPr>
            </w:pPr>
            <w:r w:rsidRPr="0066303F">
              <w:rPr>
                <w:sz w:val="20"/>
                <w:szCs w:val="20"/>
              </w:rPr>
              <w:t>Compliance with legislation (8%)</w:t>
            </w:r>
          </w:p>
          <w:p w14:paraId="78DBEC9B" w14:textId="77777777" w:rsidR="00E82DC0" w:rsidRPr="0066303F" w:rsidRDefault="00E82DC0" w:rsidP="00E36846">
            <w:pPr>
              <w:pStyle w:val="ListParagraph"/>
              <w:numPr>
                <w:ilvl w:val="0"/>
                <w:numId w:val="12"/>
              </w:numPr>
              <w:rPr>
                <w:sz w:val="20"/>
                <w:szCs w:val="20"/>
              </w:rPr>
            </w:pPr>
            <w:r w:rsidRPr="0066303F">
              <w:rPr>
                <w:sz w:val="20"/>
                <w:szCs w:val="20"/>
              </w:rPr>
              <w:t>Minimise the risk (8%)</w:t>
            </w:r>
          </w:p>
        </w:tc>
      </w:tr>
      <w:tr w:rsidR="001E0969" w:rsidRPr="0066303F" w14:paraId="29C7DFA7" w14:textId="77777777" w:rsidTr="00C165B7">
        <w:trPr>
          <w:cantSplit/>
        </w:trPr>
        <w:tc>
          <w:tcPr>
            <w:tcW w:w="1560" w:type="dxa"/>
          </w:tcPr>
          <w:p w14:paraId="2A66D873" w14:textId="77777777" w:rsidR="001E0969" w:rsidRPr="0066303F" w:rsidRDefault="001E0969" w:rsidP="00F85F27">
            <w:pPr>
              <w:spacing w:before="60" w:line="240" w:lineRule="auto"/>
              <w:rPr>
                <w:rFonts w:cs="Arial"/>
                <w:sz w:val="20"/>
                <w:szCs w:val="20"/>
              </w:rPr>
            </w:pPr>
            <w:r w:rsidRPr="0066303F">
              <w:rPr>
                <w:rFonts w:cs="Arial"/>
                <w:sz w:val="20"/>
                <w:szCs w:val="20"/>
              </w:rPr>
              <w:t>Community</w:t>
            </w:r>
          </w:p>
        </w:tc>
        <w:tc>
          <w:tcPr>
            <w:tcW w:w="4678" w:type="dxa"/>
          </w:tcPr>
          <w:p w14:paraId="468A7BDC" w14:textId="77777777" w:rsidR="00580EF2" w:rsidRPr="0066303F" w:rsidRDefault="00580EF2" w:rsidP="00E36846">
            <w:pPr>
              <w:pStyle w:val="ListParagraph"/>
              <w:numPr>
                <w:ilvl w:val="0"/>
                <w:numId w:val="12"/>
              </w:numPr>
              <w:rPr>
                <w:sz w:val="20"/>
                <w:szCs w:val="20"/>
              </w:rPr>
            </w:pPr>
            <w:r w:rsidRPr="0066303F">
              <w:rPr>
                <w:sz w:val="20"/>
                <w:szCs w:val="20"/>
              </w:rPr>
              <w:t>Participation / active engagement in control/ management (33%)</w:t>
            </w:r>
          </w:p>
          <w:p w14:paraId="49BE76B8" w14:textId="77777777" w:rsidR="00580EF2" w:rsidRPr="0066303F" w:rsidRDefault="00580EF2" w:rsidP="00E36846">
            <w:pPr>
              <w:pStyle w:val="ListParagraph"/>
              <w:numPr>
                <w:ilvl w:val="0"/>
                <w:numId w:val="12"/>
              </w:numPr>
              <w:rPr>
                <w:sz w:val="20"/>
                <w:szCs w:val="20"/>
              </w:rPr>
            </w:pPr>
            <w:r w:rsidRPr="0066303F">
              <w:rPr>
                <w:sz w:val="20"/>
                <w:szCs w:val="20"/>
              </w:rPr>
              <w:t>Fund biosecurity (17%)</w:t>
            </w:r>
          </w:p>
          <w:p w14:paraId="2ADD5BD8" w14:textId="77777777" w:rsidR="00580EF2" w:rsidRPr="0066303F" w:rsidRDefault="00580EF2" w:rsidP="00E36846">
            <w:pPr>
              <w:pStyle w:val="ListParagraph"/>
              <w:numPr>
                <w:ilvl w:val="0"/>
                <w:numId w:val="12"/>
              </w:numPr>
              <w:rPr>
                <w:sz w:val="20"/>
                <w:szCs w:val="20"/>
              </w:rPr>
            </w:pPr>
            <w:r w:rsidRPr="0066303F">
              <w:rPr>
                <w:sz w:val="20"/>
                <w:szCs w:val="20"/>
              </w:rPr>
              <w:t>Raise awareness of biosecurity (17%)</w:t>
            </w:r>
          </w:p>
          <w:p w14:paraId="09192FA2" w14:textId="77777777" w:rsidR="001E0969" w:rsidRPr="0066303F" w:rsidRDefault="00580EF2" w:rsidP="00E36846">
            <w:pPr>
              <w:pStyle w:val="ListParagraph"/>
              <w:numPr>
                <w:ilvl w:val="0"/>
                <w:numId w:val="12"/>
              </w:numPr>
              <w:rPr>
                <w:sz w:val="20"/>
                <w:szCs w:val="20"/>
              </w:rPr>
            </w:pPr>
            <w:r w:rsidRPr="0066303F">
              <w:rPr>
                <w:sz w:val="20"/>
                <w:szCs w:val="20"/>
              </w:rPr>
              <w:t>Work with government (12%)</w:t>
            </w:r>
          </w:p>
        </w:tc>
        <w:tc>
          <w:tcPr>
            <w:tcW w:w="4961" w:type="dxa"/>
          </w:tcPr>
          <w:p w14:paraId="26451C3D" w14:textId="77777777" w:rsidR="00664D31" w:rsidRPr="0066303F" w:rsidRDefault="00664D31" w:rsidP="00E36846">
            <w:pPr>
              <w:pStyle w:val="ListParagraph"/>
              <w:numPr>
                <w:ilvl w:val="0"/>
                <w:numId w:val="12"/>
              </w:numPr>
              <w:rPr>
                <w:sz w:val="20"/>
                <w:szCs w:val="20"/>
              </w:rPr>
            </w:pPr>
            <w:r w:rsidRPr="0066303F">
              <w:rPr>
                <w:sz w:val="20"/>
                <w:szCs w:val="20"/>
              </w:rPr>
              <w:t>Have the necessary resources (20%)</w:t>
            </w:r>
          </w:p>
          <w:p w14:paraId="44592774" w14:textId="77777777" w:rsidR="00664D31" w:rsidRPr="0066303F" w:rsidRDefault="00664D31" w:rsidP="00E36846">
            <w:pPr>
              <w:pStyle w:val="ListParagraph"/>
              <w:numPr>
                <w:ilvl w:val="0"/>
                <w:numId w:val="12"/>
              </w:numPr>
              <w:rPr>
                <w:sz w:val="20"/>
                <w:szCs w:val="20"/>
              </w:rPr>
            </w:pPr>
            <w:r w:rsidRPr="0066303F">
              <w:rPr>
                <w:sz w:val="20"/>
                <w:szCs w:val="20"/>
              </w:rPr>
              <w:t>Enforce the legislation (16%)</w:t>
            </w:r>
          </w:p>
          <w:p w14:paraId="2B4B5812" w14:textId="77777777" w:rsidR="001E0969" w:rsidRPr="0066303F" w:rsidRDefault="001E0969" w:rsidP="00E36846">
            <w:pPr>
              <w:pStyle w:val="ListParagraph"/>
              <w:numPr>
                <w:ilvl w:val="0"/>
                <w:numId w:val="12"/>
              </w:numPr>
              <w:rPr>
                <w:sz w:val="20"/>
                <w:szCs w:val="20"/>
              </w:rPr>
            </w:pPr>
            <w:r w:rsidRPr="0066303F">
              <w:rPr>
                <w:sz w:val="20"/>
                <w:szCs w:val="20"/>
              </w:rPr>
              <w:t xml:space="preserve">Raise </w:t>
            </w:r>
            <w:r w:rsidR="00664D31" w:rsidRPr="0066303F">
              <w:rPr>
                <w:sz w:val="20"/>
                <w:szCs w:val="20"/>
              </w:rPr>
              <w:t>awareness (11%)</w:t>
            </w:r>
          </w:p>
          <w:p w14:paraId="047E7698" w14:textId="77777777" w:rsidR="00664D31" w:rsidRPr="0066303F" w:rsidRDefault="00664D31" w:rsidP="00E36846">
            <w:pPr>
              <w:pStyle w:val="ListParagraph"/>
              <w:numPr>
                <w:ilvl w:val="0"/>
                <w:numId w:val="12"/>
              </w:numPr>
              <w:rPr>
                <w:sz w:val="20"/>
                <w:szCs w:val="20"/>
              </w:rPr>
            </w:pPr>
            <w:r w:rsidRPr="0066303F">
              <w:rPr>
                <w:sz w:val="20"/>
                <w:szCs w:val="20"/>
              </w:rPr>
              <w:t xml:space="preserve">Develop regulations, policies, </w:t>
            </w:r>
            <w:proofErr w:type="gramStart"/>
            <w:r w:rsidRPr="0066303F">
              <w:rPr>
                <w:sz w:val="20"/>
                <w:szCs w:val="20"/>
              </w:rPr>
              <w:t>procedures</w:t>
            </w:r>
            <w:proofErr w:type="gramEnd"/>
            <w:r w:rsidRPr="0066303F">
              <w:rPr>
                <w:sz w:val="20"/>
                <w:szCs w:val="20"/>
              </w:rPr>
              <w:t xml:space="preserve"> (11%)</w:t>
            </w:r>
          </w:p>
          <w:p w14:paraId="029866B6" w14:textId="77777777" w:rsidR="00664D31" w:rsidRPr="0066303F" w:rsidRDefault="00664D31" w:rsidP="00E36846">
            <w:pPr>
              <w:pStyle w:val="ListParagraph"/>
              <w:numPr>
                <w:ilvl w:val="0"/>
                <w:numId w:val="12"/>
              </w:numPr>
              <w:rPr>
                <w:sz w:val="20"/>
                <w:szCs w:val="20"/>
              </w:rPr>
            </w:pPr>
            <w:r w:rsidRPr="0066303F">
              <w:rPr>
                <w:sz w:val="20"/>
                <w:szCs w:val="20"/>
              </w:rPr>
              <w:t>Prevent and respond (9%)</w:t>
            </w:r>
          </w:p>
          <w:p w14:paraId="2BA8FE27" w14:textId="77777777" w:rsidR="00664D31" w:rsidRPr="0066303F" w:rsidRDefault="00664D31" w:rsidP="00E36846">
            <w:pPr>
              <w:pStyle w:val="ListParagraph"/>
              <w:numPr>
                <w:ilvl w:val="0"/>
                <w:numId w:val="12"/>
              </w:numPr>
              <w:rPr>
                <w:sz w:val="20"/>
                <w:szCs w:val="20"/>
              </w:rPr>
            </w:pPr>
            <w:r w:rsidRPr="0066303F">
              <w:rPr>
                <w:sz w:val="20"/>
                <w:szCs w:val="20"/>
              </w:rPr>
              <w:t>Provide support / guidance (technical expertise) (9%)</w:t>
            </w:r>
          </w:p>
          <w:p w14:paraId="0D2AF431" w14:textId="77777777" w:rsidR="001E0969" w:rsidRPr="0066303F" w:rsidRDefault="00664D31" w:rsidP="00E36846">
            <w:pPr>
              <w:pStyle w:val="ListParagraph"/>
              <w:numPr>
                <w:ilvl w:val="0"/>
                <w:numId w:val="12"/>
              </w:numPr>
              <w:rPr>
                <w:sz w:val="20"/>
                <w:szCs w:val="20"/>
              </w:rPr>
            </w:pPr>
            <w:r w:rsidRPr="0066303F">
              <w:rPr>
                <w:sz w:val="20"/>
                <w:szCs w:val="20"/>
              </w:rPr>
              <w:t>Undertake research (8%)</w:t>
            </w:r>
          </w:p>
        </w:tc>
        <w:tc>
          <w:tcPr>
            <w:tcW w:w="3686" w:type="dxa"/>
          </w:tcPr>
          <w:p w14:paraId="43E6B3FF" w14:textId="77777777" w:rsidR="008354B2" w:rsidRPr="0066303F" w:rsidRDefault="008354B2" w:rsidP="00E36846">
            <w:pPr>
              <w:pStyle w:val="ListParagraph"/>
              <w:numPr>
                <w:ilvl w:val="0"/>
                <w:numId w:val="12"/>
              </w:numPr>
              <w:rPr>
                <w:sz w:val="20"/>
                <w:szCs w:val="20"/>
              </w:rPr>
            </w:pPr>
            <w:r w:rsidRPr="0066303F">
              <w:rPr>
                <w:sz w:val="20"/>
                <w:szCs w:val="20"/>
              </w:rPr>
              <w:t>Participation (28%)</w:t>
            </w:r>
          </w:p>
          <w:p w14:paraId="04942052" w14:textId="77777777" w:rsidR="008354B2" w:rsidRPr="0066303F" w:rsidRDefault="008354B2" w:rsidP="00E36846">
            <w:pPr>
              <w:pStyle w:val="ListParagraph"/>
              <w:numPr>
                <w:ilvl w:val="0"/>
                <w:numId w:val="12"/>
              </w:numPr>
              <w:rPr>
                <w:sz w:val="20"/>
                <w:szCs w:val="20"/>
              </w:rPr>
            </w:pPr>
            <w:r w:rsidRPr="0066303F">
              <w:rPr>
                <w:sz w:val="20"/>
                <w:szCs w:val="20"/>
              </w:rPr>
              <w:t>To be aware / have an understanding (17%)</w:t>
            </w:r>
          </w:p>
          <w:p w14:paraId="41A8A5BB" w14:textId="77777777" w:rsidR="008354B2" w:rsidRPr="0066303F" w:rsidRDefault="008354B2" w:rsidP="00E36846">
            <w:pPr>
              <w:pStyle w:val="ListParagraph"/>
              <w:numPr>
                <w:ilvl w:val="0"/>
                <w:numId w:val="12"/>
              </w:numPr>
              <w:rPr>
                <w:sz w:val="20"/>
                <w:szCs w:val="20"/>
              </w:rPr>
            </w:pPr>
            <w:r w:rsidRPr="0066303F">
              <w:rPr>
                <w:sz w:val="20"/>
                <w:szCs w:val="20"/>
              </w:rPr>
              <w:t>Education and awareness-raising (17%)</w:t>
            </w:r>
          </w:p>
          <w:p w14:paraId="7DEADCC2" w14:textId="77777777" w:rsidR="001E0969" w:rsidRPr="0066303F" w:rsidRDefault="001E0969" w:rsidP="00E36846">
            <w:pPr>
              <w:pStyle w:val="ListParagraph"/>
              <w:numPr>
                <w:ilvl w:val="0"/>
                <w:numId w:val="12"/>
              </w:numPr>
              <w:rPr>
                <w:sz w:val="20"/>
                <w:szCs w:val="20"/>
              </w:rPr>
            </w:pPr>
            <w:r w:rsidRPr="0066303F">
              <w:rPr>
                <w:sz w:val="20"/>
                <w:szCs w:val="20"/>
              </w:rPr>
              <w:t>Surveillance / reporting</w:t>
            </w:r>
            <w:r w:rsidR="008354B2" w:rsidRPr="0066303F">
              <w:rPr>
                <w:sz w:val="20"/>
                <w:szCs w:val="20"/>
              </w:rPr>
              <w:t xml:space="preserve"> (12%)</w:t>
            </w:r>
          </w:p>
          <w:p w14:paraId="3623F8E9" w14:textId="77777777" w:rsidR="001E0969" w:rsidRPr="0066303F" w:rsidRDefault="001E0969" w:rsidP="00E36846">
            <w:pPr>
              <w:pStyle w:val="ListParagraph"/>
              <w:numPr>
                <w:ilvl w:val="0"/>
                <w:numId w:val="12"/>
              </w:numPr>
              <w:rPr>
                <w:sz w:val="20"/>
                <w:szCs w:val="20"/>
              </w:rPr>
            </w:pPr>
            <w:r w:rsidRPr="0066303F">
              <w:rPr>
                <w:sz w:val="20"/>
                <w:szCs w:val="20"/>
              </w:rPr>
              <w:t>Minimising their biosecurity risks</w:t>
            </w:r>
            <w:r w:rsidR="008354B2" w:rsidRPr="0066303F">
              <w:rPr>
                <w:sz w:val="20"/>
                <w:szCs w:val="20"/>
              </w:rPr>
              <w:t xml:space="preserve"> (10%)</w:t>
            </w:r>
          </w:p>
          <w:p w14:paraId="1D10D4FE" w14:textId="77777777" w:rsidR="008354B2" w:rsidRPr="0066303F" w:rsidRDefault="008354B2" w:rsidP="00E36846">
            <w:pPr>
              <w:pStyle w:val="ListParagraph"/>
              <w:numPr>
                <w:ilvl w:val="0"/>
                <w:numId w:val="12"/>
              </w:numPr>
              <w:rPr>
                <w:sz w:val="20"/>
                <w:szCs w:val="20"/>
              </w:rPr>
            </w:pPr>
            <w:r w:rsidRPr="0066303F">
              <w:rPr>
                <w:sz w:val="20"/>
                <w:szCs w:val="20"/>
              </w:rPr>
              <w:t>Influence government (8%)</w:t>
            </w:r>
          </w:p>
        </w:tc>
      </w:tr>
    </w:tbl>
    <w:p w14:paraId="73DBD92A" w14:textId="77777777" w:rsidR="001E0969" w:rsidRDefault="001E0969" w:rsidP="00F85F27">
      <w:pPr>
        <w:sectPr w:rsidR="001E0969" w:rsidSect="007A0D86">
          <w:headerReference w:type="even" r:id="rId17"/>
          <w:headerReference w:type="default" r:id="rId18"/>
          <w:headerReference w:type="first" r:id="rId19"/>
          <w:footerReference w:type="first" r:id="rId20"/>
          <w:pgSz w:w="16840" w:h="11907" w:orient="landscape" w:code="9"/>
          <w:pgMar w:top="720" w:right="720" w:bottom="720" w:left="1560" w:header="709" w:footer="158" w:gutter="0"/>
          <w:pgNumType w:start="1"/>
          <w:cols w:space="708"/>
          <w:titlePg/>
          <w:docGrid w:linePitch="360"/>
        </w:sectPr>
      </w:pPr>
    </w:p>
    <w:p w14:paraId="56A84144" w14:textId="77777777" w:rsidR="00DA6672" w:rsidRDefault="00732DE7" w:rsidP="00F97828">
      <w:pPr>
        <w:pStyle w:val="Heading2"/>
      </w:pPr>
      <w:bookmarkStart w:id="16" w:name="_Toc411452996"/>
      <w:r>
        <w:lastRenderedPageBreak/>
        <w:t>Investment in biosecurity</w:t>
      </w:r>
      <w:bookmarkEnd w:id="16"/>
    </w:p>
    <w:p w14:paraId="0FDCC358" w14:textId="77777777" w:rsidR="006462C6" w:rsidRDefault="00797813" w:rsidP="00F85F27">
      <w:r>
        <w:t>Traditionally</w:t>
      </w:r>
      <w:r w:rsidR="006462C6">
        <w:t xml:space="preserve">, </w:t>
      </w:r>
      <w:r w:rsidR="00732DE7">
        <w:t>industry investment in government-coordinated biosecurity activities centred on</w:t>
      </w:r>
      <w:r w:rsidR="006462C6">
        <w:t xml:space="preserve"> </w:t>
      </w:r>
      <w:r>
        <w:t>formalised</w:t>
      </w:r>
      <w:r w:rsidR="006462C6">
        <w:t xml:space="preserve"> </w:t>
      </w:r>
      <w:r w:rsidR="00732DE7">
        <w:t>agreements</w:t>
      </w:r>
      <w:r w:rsidR="006462C6">
        <w:t xml:space="preserve"> to </w:t>
      </w:r>
      <w:r>
        <w:t xml:space="preserve">support government </w:t>
      </w:r>
      <w:r w:rsidR="00684DAF">
        <w:t xml:space="preserve">emergency </w:t>
      </w:r>
      <w:r>
        <w:t xml:space="preserve">response to </w:t>
      </w:r>
      <w:r w:rsidR="00684DAF">
        <w:t>pest and disease incursions</w:t>
      </w:r>
      <w:r>
        <w:t xml:space="preserve"> impacting on industry. </w:t>
      </w:r>
      <w:r w:rsidR="00E85B9E">
        <w:t>In Western Australia o</w:t>
      </w:r>
      <w:r>
        <w:t xml:space="preserve">ver recent years, </w:t>
      </w:r>
      <w:r w:rsidR="004020C0">
        <w:t>other</w:t>
      </w:r>
      <w:r w:rsidR="00903C85">
        <w:t xml:space="preserve"> mechanisms for </w:t>
      </w:r>
      <w:r>
        <w:t xml:space="preserve">industry and community </w:t>
      </w:r>
      <w:r w:rsidR="00C31F1C">
        <w:t>investment in</w:t>
      </w:r>
      <w:r>
        <w:t xml:space="preserve"> </w:t>
      </w:r>
      <w:r w:rsidR="00903C85">
        <w:t>programs that</w:t>
      </w:r>
      <w:r>
        <w:t xml:space="preserve"> address their biosecurity priorities</w:t>
      </w:r>
      <w:r w:rsidR="00C31F1C">
        <w:t xml:space="preserve"> have been implemented</w:t>
      </w:r>
      <w:r>
        <w:t xml:space="preserve">, </w:t>
      </w:r>
      <w:r w:rsidR="00C31F1C">
        <w:t>which includes</w:t>
      </w:r>
      <w:r w:rsidR="004B558A">
        <w:t xml:space="preserve"> funding to control </w:t>
      </w:r>
      <w:r>
        <w:t>established pests and diseases (Industry Funding Schemes</w:t>
      </w:r>
      <w:r w:rsidR="00903C85">
        <w:t xml:space="preserve"> and </w:t>
      </w:r>
      <w:r>
        <w:t>Recognised Biosecurity Groups)</w:t>
      </w:r>
      <w:r w:rsidR="00903C85">
        <w:t>.</w:t>
      </w:r>
    </w:p>
    <w:p w14:paraId="233EC131" w14:textId="77777777" w:rsidR="004942DA" w:rsidRDefault="00E85B9E" w:rsidP="00F85F27">
      <w:r>
        <w:t xml:space="preserve">In addition to the above, the stakeholder </w:t>
      </w:r>
      <w:r w:rsidR="004942DA">
        <w:t xml:space="preserve">discussions uncovered </w:t>
      </w:r>
      <w:r>
        <w:t>several other</w:t>
      </w:r>
      <w:r w:rsidR="004942DA">
        <w:t xml:space="preserve"> facets of </w:t>
      </w:r>
      <w:r w:rsidR="004020C0">
        <w:t>biosecurity investment</w:t>
      </w:r>
      <w:r w:rsidR="004942DA">
        <w:t>:</w:t>
      </w:r>
    </w:p>
    <w:p w14:paraId="39862D73" w14:textId="77777777" w:rsidR="00E85B9E" w:rsidRDefault="00E85B9E" w:rsidP="00E36846">
      <w:pPr>
        <w:pStyle w:val="BodyText1"/>
      </w:pPr>
      <w:r>
        <w:t>The sharing of biosecurity costs across government agencies</w:t>
      </w:r>
    </w:p>
    <w:p w14:paraId="6B8A548A" w14:textId="77777777" w:rsidR="00E85B9E" w:rsidRDefault="00E85B9E" w:rsidP="00E36846">
      <w:pPr>
        <w:pStyle w:val="BodyText1"/>
      </w:pPr>
      <w:r>
        <w:t xml:space="preserve">The financial costs </w:t>
      </w:r>
      <w:r w:rsidR="009F1C90">
        <w:t xml:space="preserve">(including consequential/direct losses) </w:t>
      </w:r>
      <w:r>
        <w:t>accepted by industry to abide by government legislation and protocols</w:t>
      </w:r>
    </w:p>
    <w:p w14:paraId="34DA2214" w14:textId="77777777" w:rsidR="004942DA" w:rsidRDefault="009F1C90" w:rsidP="00E36846">
      <w:pPr>
        <w:pStyle w:val="BodyText1"/>
      </w:pPr>
      <w:r>
        <w:t>Community fundraising activities to provide funds for biosecurity-related activities</w:t>
      </w:r>
    </w:p>
    <w:p w14:paraId="2F5A1B21" w14:textId="77777777" w:rsidR="009F1C90" w:rsidRDefault="009F1C90" w:rsidP="00E36846">
      <w:pPr>
        <w:pStyle w:val="BodyText1"/>
      </w:pPr>
      <w:r>
        <w:t>Industry-driven biosecurity services</w:t>
      </w:r>
      <w:r w:rsidR="000F0B7C">
        <w:t xml:space="preserve"> (such as industry funding of specialised personnel such as entomologists)</w:t>
      </w:r>
    </w:p>
    <w:p w14:paraId="2ECF8DDE" w14:textId="7BDBFF60" w:rsidR="009F1C90" w:rsidRDefault="009F1C90" w:rsidP="00E36846">
      <w:pPr>
        <w:pStyle w:val="BodyText1"/>
      </w:pPr>
      <w:proofErr w:type="gramStart"/>
      <w:r>
        <w:t>Financial (and other) costs of voluntarily und</w:t>
      </w:r>
      <w:r w:rsidR="001C6E68">
        <w:t>ertaking biosecurity activities.</w:t>
      </w:r>
      <w:proofErr w:type="gramEnd"/>
    </w:p>
    <w:p w14:paraId="6B823F0F" w14:textId="77777777" w:rsidR="008C686D" w:rsidRDefault="004020C0" w:rsidP="00F85F27">
      <w:r>
        <w:t>Government, industry and community investment in</w:t>
      </w:r>
      <w:r w:rsidR="00A1194E">
        <w:t xml:space="preserve"> biosecurity is underpinned by the broad principle of biosecurity as a shared responsibility. </w:t>
      </w:r>
      <w:r w:rsidR="008C686D">
        <w:t xml:space="preserve">However, </w:t>
      </w:r>
      <w:r>
        <w:t>who should invest in what can be a</w:t>
      </w:r>
      <w:r w:rsidR="008C686D">
        <w:t xml:space="preserve"> contentious issue. The stakeholder discussions identified the following:</w:t>
      </w:r>
    </w:p>
    <w:p w14:paraId="7EBA123D" w14:textId="27D336F5" w:rsidR="008C686D" w:rsidRDefault="008C686D" w:rsidP="00E36846">
      <w:pPr>
        <w:pStyle w:val="ListParagraph"/>
        <w:numPr>
          <w:ilvl w:val="0"/>
          <w:numId w:val="18"/>
        </w:numPr>
      </w:pPr>
      <w:r>
        <w:t xml:space="preserve">If biosecurity activity provides a financial benefit to an industry, then </w:t>
      </w:r>
      <w:r w:rsidR="00F5323C">
        <w:t xml:space="preserve">the </w:t>
      </w:r>
      <w:r>
        <w:t>industry should contribute to the costs of the biosecurity activity</w:t>
      </w:r>
    </w:p>
    <w:p w14:paraId="435AAEAA" w14:textId="41E0F60B" w:rsidR="008C686D" w:rsidRDefault="008C686D" w:rsidP="00E36846">
      <w:pPr>
        <w:pStyle w:val="ListParagraph"/>
        <w:numPr>
          <w:ilvl w:val="0"/>
          <w:numId w:val="18"/>
        </w:numPr>
      </w:pPr>
      <w:r>
        <w:t>If the activities of an industry result in increased biosecurity risk, then the industry should contribute to the costs of minimising the risk</w:t>
      </w:r>
      <w:r w:rsidR="001C6E68">
        <w:t>.</w:t>
      </w:r>
    </w:p>
    <w:p w14:paraId="08EB7705" w14:textId="77777777" w:rsidR="008C686D" w:rsidRPr="005577CA" w:rsidRDefault="008C686D" w:rsidP="00F85F27">
      <w:pPr>
        <w:rPr>
          <w:i/>
          <w:sz w:val="20"/>
          <w:szCs w:val="20"/>
        </w:rPr>
      </w:pPr>
      <w:r w:rsidRPr="005577CA">
        <w:rPr>
          <w:i/>
          <w:sz w:val="20"/>
          <w:szCs w:val="20"/>
        </w:rPr>
        <w:t>Note: ‘industry’ refers to any commercial venture.</w:t>
      </w:r>
    </w:p>
    <w:p w14:paraId="4C41A454" w14:textId="77777777" w:rsidR="004B558A" w:rsidRDefault="004B558A" w:rsidP="00F85F27">
      <w:r>
        <w:t xml:space="preserve">The above points were supported by the responses from the online survey (Table </w:t>
      </w:r>
      <w:r w:rsidR="00D15231">
        <w:t>5</w:t>
      </w:r>
      <w:r>
        <w:t>).</w:t>
      </w:r>
    </w:p>
    <w:p w14:paraId="4F9D924F" w14:textId="77777777" w:rsidR="00A86CFE" w:rsidRDefault="00A86CFE" w:rsidP="00F85F27"/>
    <w:p w14:paraId="6973C14D" w14:textId="4788FD21" w:rsidR="004B558A" w:rsidRPr="004B558A" w:rsidRDefault="004B558A" w:rsidP="006F66EF">
      <w:pPr>
        <w:spacing w:after="200"/>
        <w:ind w:left="1134" w:hanging="1134"/>
        <w:rPr>
          <w:b/>
        </w:rPr>
      </w:pPr>
      <w:proofErr w:type="gramStart"/>
      <w:r>
        <w:rPr>
          <w:b/>
        </w:rPr>
        <w:t xml:space="preserve">Table </w:t>
      </w:r>
      <w:r w:rsidR="00D15231">
        <w:rPr>
          <w:b/>
        </w:rPr>
        <w:t>5</w:t>
      </w:r>
      <w:r w:rsidR="00C25602">
        <w:rPr>
          <w:b/>
        </w:rPr>
        <w:t>.</w:t>
      </w:r>
      <w:proofErr w:type="gramEnd"/>
      <w:r>
        <w:rPr>
          <w:b/>
        </w:rPr>
        <w:t xml:space="preserve"> </w:t>
      </w:r>
      <w:r w:rsidR="006F66EF">
        <w:rPr>
          <w:b/>
        </w:rPr>
        <w:tab/>
      </w:r>
      <w:r>
        <w:rPr>
          <w:b/>
        </w:rPr>
        <w:t>Survey response</w:t>
      </w:r>
      <w:r w:rsidR="00640864">
        <w:rPr>
          <w:b/>
        </w:rPr>
        <w:t>s</w:t>
      </w:r>
      <w:r>
        <w:rPr>
          <w:b/>
        </w:rPr>
        <w:t xml:space="preserve"> to </w:t>
      </w:r>
      <w:r w:rsidR="00D6380F">
        <w:rPr>
          <w:b/>
        </w:rPr>
        <w:t>biosecurity investment</w:t>
      </w:r>
      <w:r w:rsidR="00C25602">
        <w:rPr>
          <w:b/>
        </w:rPr>
        <w:t xml:space="preserve"> statements</w:t>
      </w:r>
    </w:p>
    <w:tbl>
      <w:tblPr>
        <w:tblStyle w:val="biosecurity"/>
        <w:tblW w:w="9606" w:type="dxa"/>
        <w:tblLook w:val="04A0" w:firstRow="1" w:lastRow="0" w:firstColumn="1" w:lastColumn="0" w:noHBand="0" w:noVBand="1"/>
        <w:tblDescription w:val="Table 5 - responses regarding biosecurity investment statements"/>
      </w:tblPr>
      <w:tblGrid>
        <w:gridCol w:w="7621"/>
        <w:gridCol w:w="1985"/>
      </w:tblGrid>
      <w:tr w:rsidR="004B558A" w:rsidRPr="00914925" w14:paraId="1702A1E2" w14:textId="77777777" w:rsidTr="00A86CFE">
        <w:trPr>
          <w:cnfStyle w:val="100000000000" w:firstRow="1" w:lastRow="0" w:firstColumn="0" w:lastColumn="0" w:oddVBand="0" w:evenVBand="0" w:oddHBand="0" w:evenHBand="0" w:firstRowFirstColumn="0" w:firstRowLastColumn="0" w:lastRowFirstColumn="0" w:lastRowLastColumn="0"/>
          <w:cantSplit/>
          <w:trHeight w:val="477"/>
          <w:tblHeader/>
        </w:trPr>
        <w:tc>
          <w:tcPr>
            <w:tcW w:w="7621" w:type="dxa"/>
            <w:hideMark/>
          </w:tcPr>
          <w:p w14:paraId="18CB901A" w14:textId="77777777" w:rsidR="004B558A" w:rsidRPr="00914925" w:rsidRDefault="004B558A" w:rsidP="00F85F27">
            <w:pPr>
              <w:spacing w:line="240" w:lineRule="auto"/>
              <w:rPr>
                <w:b/>
              </w:rPr>
            </w:pPr>
            <w:r w:rsidRPr="00914925">
              <w:rPr>
                <w:b/>
                <w:bCs/>
              </w:rPr>
              <w:t>Statement</w:t>
            </w:r>
          </w:p>
        </w:tc>
        <w:tc>
          <w:tcPr>
            <w:tcW w:w="1985" w:type="dxa"/>
            <w:hideMark/>
          </w:tcPr>
          <w:p w14:paraId="5463E2DA" w14:textId="77777777" w:rsidR="004B558A" w:rsidRPr="00914925" w:rsidRDefault="004B558A" w:rsidP="00F85F27">
            <w:pPr>
              <w:spacing w:line="240" w:lineRule="auto"/>
              <w:jc w:val="center"/>
              <w:rPr>
                <w:b/>
              </w:rPr>
            </w:pPr>
            <w:r w:rsidRPr="00914925">
              <w:rPr>
                <w:b/>
                <w:bCs/>
              </w:rPr>
              <w:t>Mean response</w:t>
            </w:r>
          </w:p>
        </w:tc>
      </w:tr>
      <w:tr w:rsidR="004B558A" w:rsidRPr="00914925" w14:paraId="5338467B" w14:textId="77777777" w:rsidTr="00A86CFE">
        <w:trPr>
          <w:cantSplit/>
          <w:trHeight w:val="648"/>
        </w:trPr>
        <w:tc>
          <w:tcPr>
            <w:tcW w:w="7621" w:type="dxa"/>
          </w:tcPr>
          <w:p w14:paraId="5B092907" w14:textId="77777777" w:rsidR="004B558A" w:rsidRPr="00914925" w:rsidRDefault="008B6868" w:rsidP="00F85F27">
            <w:r w:rsidRPr="00914925">
              <w:t>Those whose activities are a risk to Western Australia’s biosecurity should contribute to the costs of minimising the risk</w:t>
            </w:r>
          </w:p>
        </w:tc>
        <w:tc>
          <w:tcPr>
            <w:tcW w:w="1985" w:type="dxa"/>
          </w:tcPr>
          <w:p w14:paraId="0977C7CA" w14:textId="77777777" w:rsidR="004B558A" w:rsidRPr="00914925" w:rsidRDefault="008B6868" w:rsidP="00F85F27">
            <w:pPr>
              <w:jc w:val="center"/>
            </w:pPr>
            <w:r w:rsidRPr="00914925">
              <w:t>5.7</w:t>
            </w:r>
          </w:p>
        </w:tc>
      </w:tr>
      <w:tr w:rsidR="004B558A" w:rsidRPr="00914925" w14:paraId="1D0D65FF" w14:textId="77777777" w:rsidTr="00A86CFE">
        <w:trPr>
          <w:cnfStyle w:val="000000010000" w:firstRow="0" w:lastRow="0" w:firstColumn="0" w:lastColumn="0" w:oddVBand="0" w:evenVBand="0" w:oddHBand="0" w:evenHBand="1" w:firstRowFirstColumn="0" w:firstRowLastColumn="0" w:lastRowFirstColumn="0" w:lastRowLastColumn="0"/>
          <w:cantSplit/>
          <w:trHeight w:val="544"/>
        </w:trPr>
        <w:tc>
          <w:tcPr>
            <w:tcW w:w="7621" w:type="dxa"/>
          </w:tcPr>
          <w:p w14:paraId="30F4BC12" w14:textId="77777777" w:rsidR="004B558A" w:rsidRPr="00914925" w:rsidRDefault="008B6868" w:rsidP="00F85F27">
            <w:r w:rsidRPr="00914925">
              <w:t>Those who benefit from biosecurity programs should contribute to the costs</w:t>
            </w:r>
          </w:p>
        </w:tc>
        <w:tc>
          <w:tcPr>
            <w:tcW w:w="1985" w:type="dxa"/>
          </w:tcPr>
          <w:p w14:paraId="37DFBAC8" w14:textId="77777777" w:rsidR="004B558A" w:rsidRPr="00914925" w:rsidRDefault="008B6868" w:rsidP="00F85F27">
            <w:pPr>
              <w:jc w:val="center"/>
            </w:pPr>
            <w:r w:rsidRPr="00914925">
              <w:t>5.2</w:t>
            </w:r>
          </w:p>
        </w:tc>
      </w:tr>
    </w:tbl>
    <w:p w14:paraId="260EAB39" w14:textId="77777777" w:rsidR="004B558A" w:rsidRPr="008B6868" w:rsidRDefault="008B6868" w:rsidP="00F85F27">
      <w:pPr>
        <w:rPr>
          <w:i/>
        </w:rPr>
      </w:pPr>
      <w:r>
        <w:rPr>
          <w:i/>
        </w:rPr>
        <w:t>1 = strongly disagree; 7 = strongly agree</w:t>
      </w:r>
    </w:p>
    <w:p w14:paraId="1BCB7D68" w14:textId="77777777" w:rsidR="008B6868" w:rsidRDefault="008B6868" w:rsidP="00F85F27"/>
    <w:p w14:paraId="6896AE22" w14:textId="4C82836F" w:rsidR="00375CEA" w:rsidRDefault="00DE4705" w:rsidP="00584920">
      <w:pPr>
        <w:pStyle w:val="BodyText1"/>
      </w:pPr>
      <w:r>
        <w:t xml:space="preserve">The value of biosecurity in providing environmental benefits was highlighted by respondents across all sectors as an important factor (see section 3.1). </w:t>
      </w:r>
      <w:r w:rsidR="00806571">
        <w:t xml:space="preserve">There was discussion about the potential for a formalised ‘environmental levy’ that collects funds from the community for biosecurity activities. This suggestion taps into the increasing awareness and </w:t>
      </w:r>
      <w:r w:rsidR="00F5323C">
        <w:t xml:space="preserve">engagement </w:t>
      </w:r>
      <w:r w:rsidR="00806571">
        <w:t xml:space="preserve">of the community </w:t>
      </w:r>
      <w:r w:rsidR="00F5323C">
        <w:t>in environmental biosecurity</w:t>
      </w:r>
      <w:r w:rsidR="008B6868">
        <w:t xml:space="preserve">. </w:t>
      </w:r>
    </w:p>
    <w:p w14:paraId="77A346C2" w14:textId="77777777" w:rsidR="002649B3" w:rsidRDefault="002649B3" w:rsidP="00584920">
      <w:pPr>
        <w:pStyle w:val="BodyText1"/>
      </w:pPr>
      <w:r>
        <w:t xml:space="preserve">The stakeholder discussions indicated </w:t>
      </w:r>
      <w:r w:rsidR="00A1194E">
        <w:t>a perception amongst some of the government stakeholders of industry reluctance, if not an outright objection, to industry</w:t>
      </w:r>
      <w:r w:rsidR="00F5323C">
        <w:t>-based</w:t>
      </w:r>
      <w:r w:rsidR="00A1194E">
        <w:t xml:space="preserve"> funding f</w:t>
      </w:r>
      <w:r w:rsidR="00F5323C">
        <w:t>or</w:t>
      </w:r>
      <w:r w:rsidR="00A1194E">
        <w:t xml:space="preserve"> </w:t>
      </w:r>
      <w:r w:rsidR="00A1194E">
        <w:lastRenderedPageBreak/>
        <w:t>biosecurity. However, this was not mirrored in the discussion</w:t>
      </w:r>
      <w:r w:rsidR="00F5323C">
        <w:t>s</w:t>
      </w:r>
      <w:r w:rsidR="00A1194E">
        <w:t xml:space="preserve"> with industry. In general, the industry stakeholders recognised their role in the system and were willing to contribute</w:t>
      </w:r>
      <w:r w:rsidR="00F5323C">
        <w:t>,</w:t>
      </w:r>
      <w:r w:rsidR="00A1194E">
        <w:t xml:space="preserve"> as they </w:t>
      </w:r>
      <w:r w:rsidR="00AF2399">
        <w:t>understood and acknowledged the clear benefits of</w:t>
      </w:r>
      <w:r w:rsidR="00353690">
        <w:t xml:space="preserve"> biosecurity to their industry.</w:t>
      </w:r>
    </w:p>
    <w:p w14:paraId="4DDE7CB5" w14:textId="77777777" w:rsidR="005577CA" w:rsidRDefault="002649B3" w:rsidP="00584920">
      <w:pPr>
        <w:pStyle w:val="BodyText1"/>
      </w:pPr>
      <w:r>
        <w:t>T</w:t>
      </w:r>
      <w:r w:rsidR="005577CA">
        <w:t>he capacity of industry/community</w:t>
      </w:r>
      <w:r>
        <w:t xml:space="preserve"> groups</w:t>
      </w:r>
      <w:r w:rsidR="005577CA">
        <w:t xml:space="preserve"> to manage large amounts of funding</w:t>
      </w:r>
      <w:r>
        <w:t xml:space="preserve"> for biosecurity programs</w:t>
      </w:r>
      <w:r w:rsidR="00715723">
        <w:t xml:space="preserve"> was identified as an issue through the stakeholder discussions</w:t>
      </w:r>
      <w:r w:rsidR="005577CA">
        <w:t>.</w:t>
      </w:r>
      <w:r w:rsidR="001E235D">
        <w:t xml:space="preserve"> Given the potential for increased uptake of industry- and/or community-funded biosecurity initiatives through mechanisms such as Industry Funding Schemes and Recognised Biosecurity Groups, this is an impor</w:t>
      </w:r>
      <w:r w:rsidR="000F0B7C">
        <w:t>tant issue requiring attention.</w:t>
      </w:r>
    </w:p>
    <w:p w14:paraId="6B630BE2" w14:textId="77777777" w:rsidR="00A1194E" w:rsidRDefault="001E235D" w:rsidP="00584920">
      <w:pPr>
        <w:pStyle w:val="BodyText1"/>
      </w:pPr>
      <w:r>
        <w:t xml:space="preserve">Government investment in biosecurity is generally guided by </w:t>
      </w:r>
      <w:r w:rsidR="003B4CF8">
        <w:t>private versus public outcomes or benefits. In the past, determining</w:t>
      </w:r>
      <w:r>
        <w:t xml:space="preserve"> </w:t>
      </w:r>
      <w:r w:rsidR="00AF2399">
        <w:t>public and private benefit</w:t>
      </w:r>
      <w:r w:rsidR="005577CA">
        <w:t>s</w:t>
      </w:r>
      <w:r w:rsidR="003B4CF8">
        <w:t xml:space="preserve"> of biosecurity activity</w:t>
      </w:r>
      <w:r w:rsidR="005577CA">
        <w:t xml:space="preserve"> was</w:t>
      </w:r>
      <w:r w:rsidR="003B4CF8">
        <w:t xml:space="preserve"> </w:t>
      </w:r>
      <w:r w:rsidR="004020C0">
        <w:t>hotly</w:t>
      </w:r>
      <w:r w:rsidR="003B4CF8">
        <w:t xml:space="preserve"> </w:t>
      </w:r>
      <w:r w:rsidR="004020C0">
        <w:t xml:space="preserve">debated </w:t>
      </w:r>
      <w:r w:rsidR="003B4CF8">
        <w:t xml:space="preserve">and often viewed by industry as ‘cost-shifting’ by government—it was, arguably, one of the most important issues associated with the delivery of biosecurity. However, the issue did not feature as a key point through the stakeholder engagement. </w:t>
      </w:r>
      <w:r w:rsidR="00A13142">
        <w:t>It</w:t>
      </w:r>
      <w:r w:rsidR="003B4CF8">
        <w:t xml:space="preserve"> was briefly </w:t>
      </w:r>
      <w:r w:rsidR="005577CA">
        <w:t>raised by one discussion group</w:t>
      </w:r>
      <w:r w:rsidR="00A13142">
        <w:t>, and the online survey respondents identified the importance of the issue as the second lowest (mean response from industry of 4.0, where 1 = not at all an issue; and 6 = extremely important issue).</w:t>
      </w:r>
    </w:p>
    <w:p w14:paraId="1537E830" w14:textId="77777777" w:rsidR="00623F34" w:rsidRDefault="00623F34" w:rsidP="00F97828">
      <w:pPr>
        <w:pStyle w:val="Heading2"/>
      </w:pPr>
      <w:bookmarkStart w:id="17" w:name="_Toc411452997"/>
      <w:r>
        <w:t>Collaboration, cooperation and communication</w:t>
      </w:r>
      <w:bookmarkEnd w:id="17"/>
    </w:p>
    <w:p w14:paraId="1CD32858" w14:textId="77777777" w:rsidR="005F2DAF" w:rsidRDefault="00450065" w:rsidP="00F85F27">
      <w:r>
        <w:t>Collaboration</w:t>
      </w:r>
      <w:r w:rsidR="00F5323C">
        <w:t>, cooperation and communication</w:t>
      </w:r>
      <w:r>
        <w:t xml:space="preserve"> </w:t>
      </w:r>
      <w:proofErr w:type="gramStart"/>
      <w:r>
        <w:t>was</w:t>
      </w:r>
      <w:proofErr w:type="gramEnd"/>
      <w:r>
        <w:t xml:space="preserve"> a </w:t>
      </w:r>
      <w:r w:rsidR="000862D2">
        <w:t xml:space="preserve">consistent </w:t>
      </w:r>
      <w:r>
        <w:t>theme throughout the stakeholder discussions. The key message was about working together and keeping stakeholders informed</w:t>
      </w:r>
      <w:r w:rsidR="005F2DAF">
        <w:t>, and this was seen as critical to a successful biosecurity system</w:t>
      </w:r>
      <w:r>
        <w:t>.</w:t>
      </w:r>
    </w:p>
    <w:p w14:paraId="6BBF8691" w14:textId="77777777" w:rsidR="00623F34" w:rsidRDefault="005F2DAF" w:rsidP="00F85F27">
      <w:r>
        <w:t>Th</w:t>
      </w:r>
      <w:r w:rsidR="005577CA">
        <w:t>is</w:t>
      </w:r>
      <w:r>
        <w:t xml:space="preserve"> theme relates to collaboration, cooperation and communication with identified groups, organisations or individuals with a strong stake in the outcome, rather than ‘</w:t>
      </w:r>
      <w:r w:rsidR="00F87EB1">
        <w:t>general</w:t>
      </w:r>
      <w:r>
        <w:t>’</w:t>
      </w:r>
      <w:r w:rsidR="00F87EB1">
        <w:t xml:space="preserve"> communication</w:t>
      </w:r>
      <w:r>
        <w:t>.</w:t>
      </w:r>
      <w:r w:rsidR="00F87EB1">
        <w:t xml:space="preserve"> Impo</w:t>
      </w:r>
      <w:r w:rsidR="00A85320">
        <w:t xml:space="preserve">rtant components of this theme </w:t>
      </w:r>
      <w:r w:rsidR="00F87EB1">
        <w:t>were:</w:t>
      </w:r>
      <w:r w:rsidR="000862D2">
        <w:t xml:space="preserve"> </w:t>
      </w:r>
    </w:p>
    <w:p w14:paraId="2D9A5745" w14:textId="77777777" w:rsidR="00F87EB1" w:rsidRDefault="00F87EB1" w:rsidP="00E36846">
      <w:pPr>
        <w:pStyle w:val="ListParagraph"/>
        <w:numPr>
          <w:ilvl w:val="0"/>
          <w:numId w:val="14"/>
        </w:numPr>
      </w:pPr>
      <w:r>
        <w:t>Sharing of resources</w:t>
      </w:r>
    </w:p>
    <w:p w14:paraId="1512CFCE" w14:textId="77777777" w:rsidR="00F87EB1" w:rsidRDefault="00F87EB1" w:rsidP="00E36846">
      <w:pPr>
        <w:pStyle w:val="ListParagraph"/>
        <w:numPr>
          <w:ilvl w:val="0"/>
          <w:numId w:val="14"/>
        </w:numPr>
      </w:pPr>
      <w:r>
        <w:t>Stakeholder involvement at all levels – from planning though to implementation</w:t>
      </w:r>
    </w:p>
    <w:p w14:paraId="0DBACE3B" w14:textId="77777777" w:rsidR="00F87EB1" w:rsidRDefault="00F87EB1" w:rsidP="00E36846">
      <w:pPr>
        <w:pStyle w:val="ListParagraph"/>
        <w:numPr>
          <w:ilvl w:val="0"/>
          <w:numId w:val="14"/>
        </w:numPr>
      </w:pPr>
      <w:r>
        <w:t>Cross-agency interactions</w:t>
      </w:r>
    </w:p>
    <w:p w14:paraId="52867058" w14:textId="77777777" w:rsidR="005F2DAF" w:rsidRDefault="00F87EB1" w:rsidP="00E36846">
      <w:pPr>
        <w:pStyle w:val="ListParagraph"/>
        <w:numPr>
          <w:ilvl w:val="0"/>
          <w:numId w:val="14"/>
        </w:numPr>
      </w:pPr>
      <w:r>
        <w:t>Strong, timely communication to keep stakeholders informed</w:t>
      </w:r>
    </w:p>
    <w:p w14:paraId="0A90C1AE" w14:textId="6E4BDAB0" w:rsidR="00704069" w:rsidRDefault="00704069" w:rsidP="00E36846">
      <w:pPr>
        <w:pStyle w:val="ListParagraph"/>
        <w:numPr>
          <w:ilvl w:val="0"/>
          <w:numId w:val="14"/>
        </w:numPr>
      </w:pPr>
      <w:r>
        <w:t>Government support to help industry undertake its obligations</w:t>
      </w:r>
      <w:r w:rsidR="001C6E68">
        <w:t>.</w:t>
      </w:r>
    </w:p>
    <w:p w14:paraId="6E62DE4A" w14:textId="77777777" w:rsidR="005F2DAF" w:rsidRPr="005F2DAF" w:rsidRDefault="005F2DAF" w:rsidP="00F85F27">
      <w:pPr>
        <w:rPr>
          <w:i/>
        </w:rPr>
      </w:pPr>
      <w:r>
        <w:rPr>
          <w:i/>
        </w:rPr>
        <w:t>“W</w:t>
      </w:r>
      <w:r w:rsidRPr="005F2DAF">
        <w:rPr>
          <w:i/>
        </w:rPr>
        <w:t xml:space="preserve">e can’t expect to just tell them what they’re due to pay; they’ve got </w:t>
      </w:r>
      <w:r>
        <w:rPr>
          <w:i/>
        </w:rPr>
        <w:t>to be involved with the process” – Government stakeholder.</w:t>
      </w:r>
    </w:p>
    <w:p w14:paraId="44A206F8" w14:textId="54DB2FF2" w:rsidR="00B55E69" w:rsidRDefault="00A85320" w:rsidP="00F85F27">
      <w:r>
        <w:t>There were many benefits associated with good collaboration, cooperation and communication identified through the discussions—particularly as biosecurity is a ‘cross-border’ endeavour (whether that be across agencies, industries or landscapes). The key benefits included increased efficiencies (e.g. reduced duplication, broader expertise/knowledge base etc.) and stronger relationships and networks.</w:t>
      </w:r>
      <w:r w:rsidR="006C2FF6">
        <w:t xml:space="preserve"> </w:t>
      </w:r>
    </w:p>
    <w:p w14:paraId="6B02C028" w14:textId="77777777" w:rsidR="00A86CFE" w:rsidRDefault="00A86CFE" w:rsidP="00F85F27"/>
    <w:p w14:paraId="4E0E82D3" w14:textId="77777777" w:rsidR="00A86CFE" w:rsidRDefault="00A86CFE">
      <w:pPr>
        <w:spacing w:before="0" w:line="240" w:lineRule="auto"/>
        <w:jc w:val="center"/>
        <w:rPr>
          <w:b/>
        </w:rPr>
      </w:pPr>
      <w:r>
        <w:rPr>
          <w:b/>
        </w:rPr>
        <w:br w:type="page"/>
      </w:r>
    </w:p>
    <w:p w14:paraId="55FC4299" w14:textId="6D63BD11" w:rsidR="001F380F" w:rsidRPr="004B558A" w:rsidRDefault="00D15231" w:rsidP="00F64DC3">
      <w:pPr>
        <w:spacing w:after="200"/>
        <w:ind w:left="1134" w:right="-471" w:hanging="1134"/>
        <w:rPr>
          <w:b/>
        </w:rPr>
      </w:pPr>
      <w:proofErr w:type="gramStart"/>
      <w:r>
        <w:rPr>
          <w:b/>
        </w:rPr>
        <w:lastRenderedPageBreak/>
        <w:t>Table 6</w:t>
      </w:r>
      <w:r w:rsidR="001C6E68">
        <w:rPr>
          <w:b/>
        </w:rPr>
        <w:t>.</w:t>
      </w:r>
      <w:proofErr w:type="gramEnd"/>
      <w:r w:rsidR="001F380F">
        <w:rPr>
          <w:b/>
        </w:rPr>
        <w:t xml:space="preserve"> </w:t>
      </w:r>
      <w:r w:rsidR="006F66EF">
        <w:rPr>
          <w:b/>
        </w:rPr>
        <w:tab/>
      </w:r>
      <w:proofErr w:type="gramStart"/>
      <w:r w:rsidR="001F380F">
        <w:rPr>
          <w:b/>
        </w:rPr>
        <w:t>Survey response</w:t>
      </w:r>
      <w:r w:rsidR="00640864">
        <w:rPr>
          <w:b/>
        </w:rPr>
        <w:t>s</w:t>
      </w:r>
      <w:r w:rsidR="001F380F">
        <w:rPr>
          <w:b/>
        </w:rPr>
        <w:t xml:space="preserve"> relating to ‘collaboration, cooperation and communication’.</w:t>
      </w:r>
      <w:proofErr w:type="gramEnd"/>
    </w:p>
    <w:tbl>
      <w:tblPr>
        <w:tblStyle w:val="biosecurity"/>
        <w:tblW w:w="9639" w:type="dxa"/>
        <w:tblLook w:val="04A0" w:firstRow="1" w:lastRow="0" w:firstColumn="1" w:lastColumn="0" w:noHBand="0" w:noVBand="1"/>
        <w:tblDescription w:val="Table 6 - responses regarding collaboration, cooperation and communication"/>
      </w:tblPr>
      <w:tblGrid>
        <w:gridCol w:w="7363"/>
        <w:gridCol w:w="2276"/>
      </w:tblGrid>
      <w:tr w:rsidR="001F380F" w:rsidRPr="00007F71" w14:paraId="68B40E31" w14:textId="77777777" w:rsidTr="002E554A">
        <w:trPr>
          <w:cnfStyle w:val="100000000000" w:firstRow="1" w:lastRow="0" w:firstColumn="0" w:lastColumn="0" w:oddVBand="0" w:evenVBand="0" w:oddHBand="0" w:evenHBand="0" w:firstRowFirstColumn="0" w:firstRowLastColumn="0" w:lastRowFirstColumn="0" w:lastRowLastColumn="0"/>
          <w:cantSplit/>
          <w:trHeight w:val="477"/>
          <w:tblHeader/>
        </w:trPr>
        <w:tc>
          <w:tcPr>
            <w:tcW w:w="7338" w:type="dxa"/>
            <w:hideMark/>
          </w:tcPr>
          <w:p w14:paraId="4993CE15" w14:textId="77777777" w:rsidR="001F380F" w:rsidRPr="00007F71" w:rsidRDefault="001F380F" w:rsidP="00F85F27">
            <w:pPr>
              <w:spacing w:line="240" w:lineRule="auto"/>
              <w:rPr>
                <w:b/>
                <w:sz w:val="20"/>
                <w:szCs w:val="20"/>
              </w:rPr>
            </w:pPr>
            <w:r>
              <w:rPr>
                <w:b/>
                <w:bCs/>
                <w:sz w:val="20"/>
                <w:szCs w:val="20"/>
              </w:rPr>
              <w:t>Statement</w:t>
            </w:r>
          </w:p>
        </w:tc>
        <w:tc>
          <w:tcPr>
            <w:tcW w:w="2268" w:type="dxa"/>
            <w:hideMark/>
          </w:tcPr>
          <w:p w14:paraId="4655E80D" w14:textId="77777777" w:rsidR="001F380F" w:rsidRPr="00007F71" w:rsidRDefault="001F380F" w:rsidP="00F85F27">
            <w:pPr>
              <w:spacing w:line="240" w:lineRule="auto"/>
              <w:jc w:val="center"/>
              <w:rPr>
                <w:b/>
                <w:sz w:val="20"/>
                <w:szCs w:val="20"/>
              </w:rPr>
            </w:pPr>
            <w:r>
              <w:rPr>
                <w:b/>
                <w:bCs/>
                <w:sz w:val="20"/>
                <w:szCs w:val="20"/>
              </w:rPr>
              <w:t>Mean response</w:t>
            </w:r>
          </w:p>
        </w:tc>
      </w:tr>
      <w:tr w:rsidR="001F380F" w:rsidRPr="008B6868" w14:paraId="2C1B812E" w14:textId="77777777" w:rsidTr="002E554A">
        <w:trPr>
          <w:cantSplit/>
          <w:trHeight w:val="648"/>
        </w:trPr>
        <w:tc>
          <w:tcPr>
            <w:tcW w:w="7338" w:type="dxa"/>
          </w:tcPr>
          <w:p w14:paraId="5E9154FA" w14:textId="77777777" w:rsidR="001F380F" w:rsidRPr="008B6868" w:rsidRDefault="001F380F" w:rsidP="00F85F27">
            <w:pPr>
              <w:rPr>
                <w:sz w:val="20"/>
                <w:szCs w:val="20"/>
              </w:rPr>
            </w:pPr>
            <w:r>
              <w:rPr>
                <w:sz w:val="20"/>
                <w:szCs w:val="20"/>
              </w:rPr>
              <w:t>Working together on biosecurity results in improved outcomes for my sector</w:t>
            </w:r>
          </w:p>
        </w:tc>
        <w:tc>
          <w:tcPr>
            <w:tcW w:w="2268" w:type="dxa"/>
          </w:tcPr>
          <w:p w14:paraId="0875D93C" w14:textId="77777777" w:rsidR="001F380F" w:rsidRPr="008B6868" w:rsidRDefault="001F380F" w:rsidP="00F85F27">
            <w:pPr>
              <w:jc w:val="center"/>
              <w:rPr>
                <w:sz w:val="20"/>
                <w:szCs w:val="20"/>
              </w:rPr>
            </w:pPr>
            <w:r>
              <w:rPr>
                <w:sz w:val="20"/>
                <w:szCs w:val="20"/>
              </w:rPr>
              <w:t>6.4</w:t>
            </w:r>
          </w:p>
        </w:tc>
      </w:tr>
      <w:tr w:rsidR="001F380F" w:rsidRPr="008B6868" w14:paraId="470A3D2E" w14:textId="77777777" w:rsidTr="002E554A">
        <w:trPr>
          <w:cnfStyle w:val="000000010000" w:firstRow="0" w:lastRow="0" w:firstColumn="0" w:lastColumn="0" w:oddVBand="0" w:evenVBand="0" w:oddHBand="0" w:evenHBand="1" w:firstRowFirstColumn="0" w:firstRowLastColumn="0" w:lastRowFirstColumn="0" w:lastRowLastColumn="0"/>
          <w:cantSplit/>
          <w:trHeight w:val="544"/>
        </w:trPr>
        <w:tc>
          <w:tcPr>
            <w:tcW w:w="7338" w:type="dxa"/>
          </w:tcPr>
          <w:p w14:paraId="363785E6" w14:textId="77777777" w:rsidR="001F380F" w:rsidRPr="008B6868" w:rsidRDefault="00640864" w:rsidP="00F85F27">
            <w:pPr>
              <w:rPr>
                <w:sz w:val="20"/>
                <w:szCs w:val="20"/>
              </w:rPr>
            </w:pPr>
            <w:r w:rsidRPr="00640864">
              <w:rPr>
                <w:sz w:val="20"/>
                <w:szCs w:val="20"/>
              </w:rPr>
              <w:t>Those impacted by pests, weeds and diseases should have</w:t>
            </w:r>
            <w:r>
              <w:rPr>
                <w:sz w:val="20"/>
                <w:szCs w:val="20"/>
              </w:rPr>
              <w:t xml:space="preserve"> </w:t>
            </w:r>
            <w:r w:rsidRPr="00640864">
              <w:rPr>
                <w:sz w:val="20"/>
                <w:szCs w:val="20"/>
              </w:rPr>
              <w:t>the opportunity to be involved in decisions about the</w:t>
            </w:r>
            <w:r>
              <w:rPr>
                <w:sz w:val="20"/>
                <w:szCs w:val="20"/>
              </w:rPr>
              <w:t xml:space="preserve"> </w:t>
            </w:r>
            <w:r w:rsidRPr="00640864">
              <w:rPr>
                <w:sz w:val="20"/>
                <w:szCs w:val="20"/>
              </w:rPr>
              <w:t>biosecurity issues affecting them</w:t>
            </w:r>
          </w:p>
        </w:tc>
        <w:tc>
          <w:tcPr>
            <w:tcW w:w="2268" w:type="dxa"/>
          </w:tcPr>
          <w:p w14:paraId="0B188746" w14:textId="77777777" w:rsidR="001F380F" w:rsidRPr="008B6868" w:rsidRDefault="001F380F" w:rsidP="00F85F27">
            <w:pPr>
              <w:jc w:val="center"/>
              <w:rPr>
                <w:sz w:val="20"/>
                <w:szCs w:val="20"/>
              </w:rPr>
            </w:pPr>
            <w:r w:rsidRPr="008B6868">
              <w:rPr>
                <w:sz w:val="20"/>
                <w:szCs w:val="20"/>
              </w:rPr>
              <w:t>5.2</w:t>
            </w:r>
          </w:p>
        </w:tc>
      </w:tr>
      <w:tr w:rsidR="00640864" w:rsidRPr="008B6868" w14:paraId="3076FABB" w14:textId="77777777" w:rsidTr="002E554A">
        <w:trPr>
          <w:cantSplit/>
          <w:trHeight w:val="544"/>
        </w:trPr>
        <w:tc>
          <w:tcPr>
            <w:tcW w:w="7338" w:type="dxa"/>
          </w:tcPr>
          <w:p w14:paraId="6ED9E2C1" w14:textId="77777777" w:rsidR="00640864" w:rsidRPr="00640864" w:rsidRDefault="00640864" w:rsidP="00F85F27">
            <w:pPr>
              <w:rPr>
                <w:sz w:val="20"/>
                <w:szCs w:val="20"/>
              </w:rPr>
            </w:pPr>
            <w:r w:rsidRPr="00640864">
              <w:rPr>
                <w:sz w:val="20"/>
                <w:szCs w:val="20"/>
              </w:rPr>
              <w:t>Industry and community stakeholders should have input to</w:t>
            </w:r>
            <w:r>
              <w:rPr>
                <w:sz w:val="20"/>
                <w:szCs w:val="20"/>
              </w:rPr>
              <w:t xml:space="preserve"> </w:t>
            </w:r>
            <w:r w:rsidRPr="00640864">
              <w:rPr>
                <w:sz w:val="20"/>
                <w:szCs w:val="20"/>
              </w:rPr>
              <w:t>biosecurity emergency responses</w:t>
            </w:r>
          </w:p>
        </w:tc>
        <w:tc>
          <w:tcPr>
            <w:tcW w:w="2268" w:type="dxa"/>
          </w:tcPr>
          <w:p w14:paraId="37DCE62C" w14:textId="77777777" w:rsidR="00640864" w:rsidRPr="008B6868" w:rsidRDefault="00640864" w:rsidP="00F85F27">
            <w:pPr>
              <w:jc w:val="center"/>
              <w:rPr>
                <w:sz w:val="20"/>
                <w:szCs w:val="20"/>
              </w:rPr>
            </w:pPr>
            <w:r>
              <w:rPr>
                <w:sz w:val="20"/>
                <w:szCs w:val="20"/>
              </w:rPr>
              <w:t>6.0</w:t>
            </w:r>
          </w:p>
        </w:tc>
      </w:tr>
    </w:tbl>
    <w:p w14:paraId="5F7D9C1E" w14:textId="77777777" w:rsidR="001F380F" w:rsidRDefault="001F380F" w:rsidP="00F85F27">
      <w:pPr>
        <w:rPr>
          <w:i/>
        </w:rPr>
      </w:pPr>
      <w:r>
        <w:rPr>
          <w:i/>
        </w:rPr>
        <w:t>1 = strongly disagree; 7 = strongly agree</w:t>
      </w:r>
    </w:p>
    <w:p w14:paraId="70DB0FF9" w14:textId="77777777" w:rsidR="00640864" w:rsidRPr="008B6868" w:rsidRDefault="00640864" w:rsidP="00F85F27">
      <w:pPr>
        <w:rPr>
          <w:i/>
        </w:rPr>
      </w:pPr>
    </w:p>
    <w:p w14:paraId="1F00C4EF" w14:textId="77777777" w:rsidR="00A37A19" w:rsidRDefault="006677E1" w:rsidP="00F85F27">
      <w:r>
        <w:t xml:space="preserve">The stakeholder discussions gave </w:t>
      </w:r>
      <w:r w:rsidR="00B93854">
        <w:t>examples of successful collaboration and cooperative approaches; however, in general, it was believed that improvements could be made</w:t>
      </w:r>
      <w:r w:rsidR="00640864">
        <w:t>. This was further supported by the online survey where ‘collaboration between government and industry</w:t>
      </w:r>
      <w:r w:rsidR="00B730BB">
        <w:t>’ was identified as an important issue (mean response = 5.3, where 1 = not at all an issue; and 6 = extremely important issue).</w:t>
      </w:r>
    </w:p>
    <w:p w14:paraId="58A5F9B5" w14:textId="77777777" w:rsidR="00A37A19" w:rsidRDefault="00A37A19" w:rsidP="00F97828">
      <w:pPr>
        <w:pStyle w:val="Heading2"/>
      </w:pPr>
      <w:bookmarkStart w:id="18" w:name="_Toc411452998"/>
      <w:r>
        <w:t>E</w:t>
      </w:r>
      <w:r w:rsidR="00623F34">
        <w:t>ngagement, e</w:t>
      </w:r>
      <w:r>
        <w:t>ducation and awareness</w:t>
      </w:r>
      <w:bookmarkEnd w:id="18"/>
    </w:p>
    <w:p w14:paraId="7269697F" w14:textId="77777777" w:rsidR="00106837" w:rsidRDefault="00106837" w:rsidP="00584920">
      <w:pPr>
        <w:pStyle w:val="BodyText1"/>
      </w:pPr>
      <w:r>
        <w:t xml:space="preserve">Engagement, education and awareness </w:t>
      </w:r>
      <w:r w:rsidR="006677E1">
        <w:t xml:space="preserve">at both </w:t>
      </w:r>
      <w:r w:rsidR="00B730BB">
        <w:t xml:space="preserve">a </w:t>
      </w:r>
      <w:r w:rsidR="006677E1">
        <w:t xml:space="preserve">general </w:t>
      </w:r>
      <w:r w:rsidR="00B730BB">
        <w:t xml:space="preserve">level </w:t>
      </w:r>
      <w:r w:rsidR="00B93854">
        <w:t xml:space="preserve">(e.g. biosecurity in the broad sense) </w:t>
      </w:r>
      <w:r w:rsidR="006677E1">
        <w:t xml:space="preserve">and </w:t>
      </w:r>
      <w:r w:rsidR="00B730BB">
        <w:t xml:space="preserve">more </w:t>
      </w:r>
      <w:r w:rsidR="006677E1">
        <w:t>specific</w:t>
      </w:r>
      <w:r w:rsidR="00B730BB">
        <w:t>ally</w:t>
      </w:r>
      <w:r w:rsidR="006677E1">
        <w:t xml:space="preserve"> </w:t>
      </w:r>
      <w:r w:rsidR="00B93854">
        <w:t xml:space="preserve">(e.g. particular biosecurity issues) </w:t>
      </w:r>
      <w:r>
        <w:t>em</w:t>
      </w:r>
      <w:r w:rsidR="006677E1">
        <w:t>erged as a key theme during the stakeholder discussions</w:t>
      </w:r>
      <w:r w:rsidR="00D6380F">
        <w:t>, and was identified as a top need by government, industry and community stakeholder via the online questionnaire (see section 3.10)</w:t>
      </w:r>
      <w:r w:rsidR="006677E1">
        <w:t xml:space="preserve">. Similar to ‘collaboration, cooperation and communication’ above, this theme was identified as a critical component of a successful biosecurity system. </w:t>
      </w:r>
    </w:p>
    <w:p w14:paraId="510117AF" w14:textId="77777777" w:rsidR="002A2356" w:rsidRDefault="006677E1" w:rsidP="00584920">
      <w:pPr>
        <w:pStyle w:val="BodyText1"/>
      </w:pPr>
      <w:r>
        <w:t>Th</w:t>
      </w:r>
      <w:r w:rsidR="00B93854">
        <w:t>is</w:t>
      </w:r>
      <w:r>
        <w:t xml:space="preserve"> theme relates to</w:t>
      </w:r>
      <w:r w:rsidR="00B730BB">
        <w:t xml:space="preserve"> the</w:t>
      </w:r>
      <w:r>
        <w:t xml:space="preserve"> broader engagement, education and awareness</w:t>
      </w:r>
      <w:r w:rsidR="002A2356">
        <w:t xml:space="preserve"> of</w:t>
      </w:r>
      <w:r w:rsidR="00F5323C">
        <w:t xml:space="preserve"> citizens</w:t>
      </w:r>
      <w:r>
        <w:t xml:space="preserve">, </w:t>
      </w:r>
      <w:r w:rsidR="00B93854">
        <w:t>rather than</w:t>
      </w:r>
      <w:r w:rsidR="002A2356">
        <w:t xml:space="preserve"> the targeted </w:t>
      </w:r>
      <w:r w:rsidR="00F5323C">
        <w:t>stakeholders</w:t>
      </w:r>
      <w:r w:rsidR="002A2356">
        <w:t xml:space="preserve"> </w:t>
      </w:r>
      <w:r w:rsidR="00B93854">
        <w:t>addressed in</w:t>
      </w:r>
      <w:r>
        <w:t xml:space="preserve"> 3.4 above</w:t>
      </w:r>
      <w:r w:rsidR="00DC766F">
        <w:t xml:space="preserve">. Nevertheless, </w:t>
      </w:r>
      <w:r>
        <w:t>it was acknowledged in the discussions that a level of engagement, education and aw</w:t>
      </w:r>
      <w:r w:rsidR="00DC766F">
        <w:t xml:space="preserve">areness </w:t>
      </w:r>
      <w:r w:rsidR="00393EBD">
        <w:t>is</w:t>
      </w:r>
      <w:r w:rsidR="00DC766F">
        <w:t xml:space="preserve"> also necessary for the</w:t>
      </w:r>
      <w:r>
        <w:t xml:space="preserve"> biosecurity stakeholders targeted in 3.4.</w:t>
      </w:r>
    </w:p>
    <w:p w14:paraId="31F679CE" w14:textId="77777777" w:rsidR="005368A9" w:rsidRDefault="005368A9" w:rsidP="00584920">
      <w:pPr>
        <w:pStyle w:val="BodyText1"/>
      </w:pPr>
      <w:r>
        <w:t>The online survey respondents had expectations of the general community being aware of biosecurity issues (‘I expect the general community to have an awareness of biosecurity threats’—mean response 5.</w:t>
      </w:r>
      <w:r w:rsidR="00C82DB5">
        <w:t>8</w:t>
      </w:r>
      <w:r>
        <w:t>, where 1=strongly disagree; and 7=strongly agree). Furthermore, survey respondents felt it was very important that industries and communities were aware of biosecurity issues (mean responses 6.6 and 6.5, respectively).</w:t>
      </w:r>
      <w:r w:rsidR="00C82DB5">
        <w:t xml:space="preserve"> However, the online survey also identified industry and community’s level of knowledge about biosecurity as important issues (mean response=5.1 for both industry and community, where 1= not at all an issue; and 6=extremely important issue)</w:t>
      </w:r>
      <w:r w:rsidR="009352C2">
        <w:t>.</w:t>
      </w:r>
    </w:p>
    <w:p w14:paraId="57AB9685" w14:textId="77777777" w:rsidR="00106837" w:rsidRDefault="00882A18" w:rsidP="00584920">
      <w:pPr>
        <w:pStyle w:val="BodyText1"/>
      </w:pPr>
      <w:r>
        <w:t xml:space="preserve">The stakeholder discussions identified a general </w:t>
      </w:r>
      <w:r w:rsidR="00053C34">
        <w:t>understanding</w:t>
      </w:r>
      <w:r>
        <w:t xml:space="preserve"> and</w:t>
      </w:r>
      <w:r w:rsidR="00053C34">
        <w:t xml:space="preserve"> awareness of biosecurity</w:t>
      </w:r>
      <w:r>
        <w:t xml:space="preserve"> as the necessary grounding for increased citizen engagement with biosecurity. With increased engagement, it was believed there would be </w:t>
      </w:r>
      <w:r w:rsidR="00B730BB">
        <w:t xml:space="preserve">more </w:t>
      </w:r>
      <w:r>
        <w:t>opportunit</w:t>
      </w:r>
      <w:r w:rsidR="00B730BB">
        <w:t>ies</w:t>
      </w:r>
      <w:r>
        <w:t xml:space="preserve"> to increase citizen knowledge, understanding and awareness of more specific biosecurity-related issues such as species identification, surveillance, reporting, control options, legal responsibilities and so on</w:t>
      </w:r>
      <w:r w:rsidR="00B730BB">
        <w:t xml:space="preserve">. It was thought that this would </w:t>
      </w:r>
      <w:r>
        <w:t>culminat</w:t>
      </w:r>
      <w:r w:rsidR="00B730BB">
        <w:t>e</w:t>
      </w:r>
      <w:r>
        <w:t xml:space="preserve"> in a more effective biosecurity system</w:t>
      </w:r>
      <w:r w:rsidR="00B730BB">
        <w:t xml:space="preserve"> for Western Australia</w:t>
      </w:r>
      <w:r w:rsidR="00C82DB5">
        <w:t xml:space="preserve"> by delivering, for example, industry and community expertise to undertake relevant biosecurity activities (‘I expect industry to have the expertise to undertake relevant biosecurity activities’—mean response 5.7, where 1=strongly disagree; and 7=strongly agree). </w:t>
      </w:r>
    </w:p>
    <w:p w14:paraId="6CBA5F7B" w14:textId="77777777" w:rsidR="00882A18" w:rsidRDefault="00882A18" w:rsidP="00584920">
      <w:pPr>
        <w:pStyle w:val="BodyText1"/>
      </w:pPr>
      <w:r>
        <w:lastRenderedPageBreak/>
        <w:t xml:space="preserve">Citizen engagement in biosecurity was highlighted as an area for improvement, particularly as </w:t>
      </w:r>
      <w:r w:rsidR="00855B7C">
        <w:t>citizens were seen as an underutilised, but often willing, resource</w:t>
      </w:r>
      <w:r>
        <w:t>. However, it was acknowledged that</w:t>
      </w:r>
      <w:r w:rsidR="00855B7C">
        <w:t xml:space="preserve"> increased </w:t>
      </w:r>
      <w:r>
        <w:t>citizen participation</w:t>
      </w:r>
      <w:r w:rsidR="00855B7C">
        <w:t xml:space="preserve"> would require</w:t>
      </w:r>
      <w:r>
        <w:t xml:space="preserve"> adequate processes, systems and structures </w:t>
      </w:r>
      <w:r w:rsidR="00855B7C">
        <w:t>to be</w:t>
      </w:r>
      <w:r>
        <w:t xml:space="preserve"> in place</w:t>
      </w:r>
      <w:r w:rsidR="00855B7C">
        <w:t xml:space="preserve"> (for example, to enable simple reporting of potential biosecurity threats), and may result increased workloads to respond to increased numbers of enquiries (for example).</w:t>
      </w:r>
    </w:p>
    <w:p w14:paraId="44EDD27E" w14:textId="77777777" w:rsidR="009352C2" w:rsidRDefault="009352C2" w:rsidP="00584920">
      <w:pPr>
        <w:pStyle w:val="BodyText1"/>
      </w:pPr>
      <w:r>
        <w:t>Several areas were identified as important issues requiring attention:</w:t>
      </w:r>
    </w:p>
    <w:p w14:paraId="72B0F952" w14:textId="77777777" w:rsidR="009352C2" w:rsidRDefault="009352C2" w:rsidP="00E36846">
      <w:pPr>
        <w:pStyle w:val="ListParagraph"/>
        <w:numPr>
          <w:ilvl w:val="0"/>
          <w:numId w:val="29"/>
        </w:numPr>
      </w:pPr>
      <w:r w:rsidRPr="009352C2">
        <w:t>Government communication about biosecurity</w:t>
      </w:r>
      <w:r>
        <w:t xml:space="preserve"> (5.3)</w:t>
      </w:r>
    </w:p>
    <w:p w14:paraId="0A59BEEC" w14:textId="77777777" w:rsidR="009352C2" w:rsidRDefault="009352C2" w:rsidP="00E36846">
      <w:pPr>
        <w:pStyle w:val="ListParagraph"/>
        <w:numPr>
          <w:ilvl w:val="0"/>
          <w:numId w:val="29"/>
        </w:numPr>
      </w:pPr>
      <w:r w:rsidRPr="009352C2">
        <w:t>Knowing who to contact to report biosecurity</w:t>
      </w:r>
      <w:r>
        <w:t>-</w:t>
      </w:r>
      <w:r w:rsidRPr="009352C2">
        <w:t>related</w:t>
      </w:r>
      <w:r>
        <w:t xml:space="preserve"> </w:t>
      </w:r>
      <w:r w:rsidRPr="009352C2">
        <w:t>issues</w:t>
      </w:r>
      <w:r>
        <w:t xml:space="preserve"> (5.2)</w:t>
      </w:r>
    </w:p>
    <w:p w14:paraId="2FFE083A" w14:textId="77777777" w:rsidR="009352C2" w:rsidRPr="009352C2" w:rsidRDefault="009352C2" w:rsidP="00E36846">
      <w:pPr>
        <w:pStyle w:val="ListParagraph"/>
        <w:numPr>
          <w:ilvl w:val="0"/>
          <w:numId w:val="29"/>
        </w:numPr>
      </w:pPr>
      <w:r w:rsidRPr="009352C2">
        <w:t>Access to biosecurity information</w:t>
      </w:r>
      <w:r>
        <w:t xml:space="preserve"> (5.1)</w:t>
      </w:r>
    </w:p>
    <w:p w14:paraId="3F8E5E28" w14:textId="77777777" w:rsidR="009352C2" w:rsidRPr="009352C2" w:rsidRDefault="009352C2" w:rsidP="00E36846">
      <w:pPr>
        <w:pStyle w:val="ListParagraph"/>
        <w:numPr>
          <w:ilvl w:val="0"/>
          <w:numId w:val="29"/>
        </w:numPr>
      </w:pPr>
      <w:r w:rsidRPr="009352C2">
        <w:t>Industry communication about biosecurity</w:t>
      </w:r>
      <w:r>
        <w:t xml:space="preserve"> (5.0)</w:t>
      </w:r>
    </w:p>
    <w:p w14:paraId="53BEEA24" w14:textId="6F1171D8" w:rsidR="009352C2" w:rsidRDefault="009352C2" w:rsidP="00E36846">
      <w:pPr>
        <w:pStyle w:val="ListParagraph"/>
        <w:numPr>
          <w:ilvl w:val="0"/>
          <w:numId w:val="29"/>
        </w:numPr>
      </w:pPr>
      <w:r w:rsidRPr="009352C2">
        <w:t>People not reporting suspicious pests, weeds and diseases</w:t>
      </w:r>
      <w:r>
        <w:t xml:space="preserve"> </w:t>
      </w:r>
      <w:r w:rsidRPr="009352C2">
        <w:t>for fear of potential repercussions</w:t>
      </w:r>
      <w:r>
        <w:t xml:space="preserve"> (4.9)</w:t>
      </w:r>
      <w:r w:rsidR="001C6E68">
        <w:t>.</w:t>
      </w:r>
    </w:p>
    <w:p w14:paraId="5E29371A" w14:textId="77777777" w:rsidR="009352C2" w:rsidRPr="009352C2" w:rsidRDefault="00B30338" w:rsidP="00E36846">
      <w:pPr>
        <w:pStyle w:val="ListParagraph"/>
      </w:pPr>
      <w:r>
        <w:t xml:space="preserve">Note: numbers represent the average response, where </w:t>
      </w:r>
      <w:r w:rsidR="009352C2">
        <w:t xml:space="preserve">1 = not at all an issue; </w:t>
      </w:r>
      <w:r>
        <w:t xml:space="preserve">and </w:t>
      </w:r>
      <w:r w:rsidR="009352C2">
        <w:t>6 = very important issue</w:t>
      </w:r>
    </w:p>
    <w:p w14:paraId="6E33B9FB" w14:textId="77777777" w:rsidR="005F2DAF" w:rsidRDefault="00A85320" w:rsidP="00F85F27">
      <w:r>
        <w:t xml:space="preserve">Engagement, education and awareness-raising </w:t>
      </w:r>
      <w:proofErr w:type="gramStart"/>
      <w:r>
        <w:t>was</w:t>
      </w:r>
      <w:proofErr w:type="gramEnd"/>
      <w:r>
        <w:t xml:space="preserve"> identified as a role of all—not just government agencies (see Table 2). </w:t>
      </w:r>
    </w:p>
    <w:p w14:paraId="3D570DC7" w14:textId="77777777" w:rsidR="00A37A19" w:rsidRDefault="00623F34" w:rsidP="00F97828">
      <w:pPr>
        <w:pStyle w:val="Heading2"/>
      </w:pPr>
      <w:bookmarkStart w:id="19" w:name="_Toc411452999"/>
      <w:r>
        <w:t>Prioritising and justifying</w:t>
      </w:r>
      <w:bookmarkEnd w:id="19"/>
    </w:p>
    <w:p w14:paraId="4FB865F5" w14:textId="77777777" w:rsidR="000977B3" w:rsidRDefault="00707BED" w:rsidP="00C165B7">
      <w:pPr>
        <w:pStyle w:val="BodyText1"/>
      </w:pPr>
      <w:r>
        <w:t>Most of t</w:t>
      </w:r>
      <w:r w:rsidR="00704069">
        <w:t>he stakeholder discussions identified prioritis</w:t>
      </w:r>
      <w:r w:rsidR="00855B7C">
        <w:t>ation</w:t>
      </w:r>
      <w:r w:rsidR="00704069">
        <w:t xml:space="preserve"> and </w:t>
      </w:r>
      <w:r w:rsidR="00855B7C">
        <w:t>justification of</w:t>
      </w:r>
      <w:r w:rsidR="00704069">
        <w:t xml:space="preserve"> </w:t>
      </w:r>
      <w:r>
        <w:t>investment in biosecurity</w:t>
      </w:r>
      <w:r w:rsidR="00855B7C">
        <w:t xml:space="preserve"> as essential, owing to diminishing resources to address what appeared to be increasing biosecurity demands.</w:t>
      </w:r>
      <w:r w:rsidR="0078413C" w:rsidRPr="0078413C">
        <w:t xml:space="preserve"> </w:t>
      </w:r>
      <w:r w:rsidR="0078413C">
        <w:t>In general, the stakeholder</w:t>
      </w:r>
      <w:r w:rsidR="008B2A4B">
        <w:t>s</w:t>
      </w:r>
      <w:r w:rsidR="0078413C">
        <w:t xml:space="preserve"> believed the focus of investment should be at prevention and eradication, and the </w:t>
      </w:r>
      <w:r w:rsidR="0078413C">
        <w:rPr>
          <w:i/>
        </w:rPr>
        <w:t>‘areas of the greatest risk’</w:t>
      </w:r>
      <w:r w:rsidR="0078413C">
        <w:t>.</w:t>
      </w:r>
      <w:r w:rsidR="008B2A4B">
        <w:t xml:space="preserve"> This was confirmed by the online survey, with a mean response of 5.9 to the statement ‘Biosecurity activities must be targeted to areas of greatest risk’ (1=strongly disagree; 7=strongly agree).</w:t>
      </w:r>
    </w:p>
    <w:p w14:paraId="702C3999" w14:textId="1C523A94" w:rsidR="000977B3" w:rsidRDefault="000977B3" w:rsidP="00C165B7">
      <w:pPr>
        <w:pStyle w:val="BodyText1"/>
      </w:pPr>
      <w:r>
        <w:t xml:space="preserve">Cost-benefit analyses were </w:t>
      </w:r>
      <w:r w:rsidR="00B30338">
        <w:t>mentioned</w:t>
      </w:r>
      <w:r>
        <w:t xml:space="preserve"> </w:t>
      </w:r>
      <w:r w:rsidR="00B30338">
        <w:t>d</w:t>
      </w:r>
      <w:r w:rsidR="00396F18">
        <w:t>uring the</w:t>
      </w:r>
      <w:r>
        <w:t xml:space="preserve"> stakeholder</w:t>
      </w:r>
      <w:r w:rsidR="00396F18">
        <w:t xml:space="preserve"> discussion</w:t>
      </w:r>
      <w:r>
        <w:t xml:space="preserve">s as the means to prioritise and justify the level of investment in biosecurity. Discussions with stakeholders within agricultural industries provided conflicting views on this—on the one hand, some believed cost-benefit analyses to be a key tool to determine the value of continued investment in a biosecurity program. On the other hand, some believed it was necessary to eradicate the pest, weed or disease </w:t>
      </w:r>
      <w:r>
        <w:rPr>
          <w:i/>
        </w:rPr>
        <w:t xml:space="preserve">‘whatever the cost’ </w:t>
      </w:r>
      <w:r>
        <w:t>in order to bring it back to a surveillance program rather than ongoing control.</w:t>
      </w:r>
      <w:r w:rsidR="00396F18">
        <w:t xml:space="preserve"> The statement within the online survey of ‘The benefits of biosecurity activities should outweigh the costs’ provided a mean response of </w:t>
      </w:r>
      <w:r w:rsidR="00396F18" w:rsidRPr="00D15231">
        <w:t>4.8 (</w:t>
      </w:r>
      <w:r w:rsidR="001C6E68">
        <w:t>Figure</w:t>
      </w:r>
      <w:r w:rsidR="00D15231" w:rsidRPr="00D15231">
        <w:t xml:space="preserve"> 5</w:t>
      </w:r>
      <w:r w:rsidR="00396F18" w:rsidRPr="00D15231">
        <w:t>).</w:t>
      </w:r>
    </w:p>
    <w:p w14:paraId="6BAA9B5D" w14:textId="02910F89" w:rsidR="00707BED" w:rsidRDefault="000977B3" w:rsidP="00C165B7">
      <w:pPr>
        <w:pStyle w:val="BodyText1"/>
      </w:pPr>
      <w:r>
        <w:t xml:space="preserve">A few stakeholder discussions highlighted an historical aspect to investment in certain biosecurity activities, rather than any rigorous prioritisation process. Furthermore, prioritisation was based upon differing criteria that were dependent on the sector—for example, the level of impact on agriculture was key to agriculture-related groups; whereas, environmental impacts were key for environmental organisations. </w:t>
      </w:r>
      <w:r w:rsidR="00855B7C">
        <w:t xml:space="preserve">Interestingly, </w:t>
      </w:r>
      <w:r w:rsidR="00707BED">
        <w:t>government stakeholder</w:t>
      </w:r>
      <w:r>
        <w:t>s</w:t>
      </w:r>
      <w:r w:rsidR="00707BED">
        <w:t xml:space="preserve"> </w:t>
      </w:r>
      <w:r w:rsidR="00855B7C">
        <w:t>recognised the</w:t>
      </w:r>
      <w:r w:rsidR="00971BA2">
        <w:t xml:space="preserve"> need for s</w:t>
      </w:r>
      <w:r w:rsidR="00707BED">
        <w:t>tate</w:t>
      </w:r>
      <w:r>
        <w:t>-level</w:t>
      </w:r>
      <w:r w:rsidR="00707BED">
        <w:t xml:space="preserve"> </w:t>
      </w:r>
      <w:r w:rsidR="00855B7C">
        <w:t xml:space="preserve">biosecurity </w:t>
      </w:r>
      <w:r w:rsidR="00707BED">
        <w:t>priorities</w:t>
      </w:r>
      <w:r w:rsidR="00855B7C">
        <w:t xml:space="preserve"> to be identified</w:t>
      </w:r>
      <w:r w:rsidR="00707BED">
        <w:t xml:space="preserve"> (as opposed to agency priorities)</w:t>
      </w:r>
      <w:r w:rsidR="00855B7C">
        <w:t xml:space="preserve"> to support</w:t>
      </w:r>
      <w:r w:rsidR="00707BED">
        <w:t xml:space="preserve"> collaborative cross-go</w:t>
      </w:r>
      <w:r w:rsidR="00855B7C">
        <w:t xml:space="preserve">vernment action. </w:t>
      </w:r>
      <w:r>
        <w:t xml:space="preserve">In this model, </w:t>
      </w:r>
      <w:r w:rsidR="00971BA2">
        <w:t>a s</w:t>
      </w:r>
      <w:r w:rsidR="00707BED">
        <w:t xml:space="preserve">tate priority </w:t>
      </w:r>
      <w:r>
        <w:t>would be</w:t>
      </w:r>
      <w:r w:rsidR="00707BED">
        <w:t xml:space="preserve"> a priority of all biosecurity agencies.</w:t>
      </w:r>
    </w:p>
    <w:p w14:paraId="0B173780" w14:textId="77777777" w:rsidR="00D15231" w:rsidRDefault="00D15231" w:rsidP="00F85F27">
      <w:pPr>
        <w:jc w:val="center"/>
      </w:pPr>
      <w:r>
        <w:rPr>
          <w:noProof/>
          <w:lang w:eastAsia="en-AU"/>
        </w:rPr>
        <w:lastRenderedPageBreak/>
        <w:drawing>
          <wp:inline distT="0" distB="0" distL="0" distR="0" wp14:anchorId="2AD3F5F8" wp14:editId="495B4D02">
            <wp:extent cx="5760000" cy="2952000"/>
            <wp:effectExtent l="0" t="0" r="0" b="1270"/>
            <wp:docPr id="8" name="Chart 8" descr="Figure 5. Survey responses to the statement ‘The benefits of biosecurity activities should outweigh the cos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4B8CE98" w14:textId="3CDD04E6" w:rsidR="00D15231" w:rsidRPr="00D15231" w:rsidRDefault="00D15231" w:rsidP="00974F12">
      <w:pPr>
        <w:ind w:left="1134" w:right="-2" w:hanging="1134"/>
        <w:rPr>
          <w:b/>
        </w:rPr>
      </w:pPr>
      <w:proofErr w:type="gramStart"/>
      <w:r>
        <w:rPr>
          <w:b/>
        </w:rPr>
        <w:t>Figure 5</w:t>
      </w:r>
      <w:r w:rsidR="001C6E68">
        <w:rPr>
          <w:b/>
        </w:rPr>
        <w:t>.</w:t>
      </w:r>
      <w:proofErr w:type="gramEnd"/>
      <w:r>
        <w:rPr>
          <w:b/>
        </w:rPr>
        <w:t xml:space="preserve"> </w:t>
      </w:r>
      <w:r w:rsidR="00974F12">
        <w:rPr>
          <w:b/>
        </w:rPr>
        <w:tab/>
      </w:r>
      <w:proofErr w:type="gramStart"/>
      <w:r>
        <w:rPr>
          <w:b/>
        </w:rPr>
        <w:t>Survey responses to the statement ‘The benefits of biosecurity activities should outweigh the costs’.</w:t>
      </w:r>
      <w:proofErr w:type="gramEnd"/>
    </w:p>
    <w:p w14:paraId="1DBDBCAF" w14:textId="77777777" w:rsidR="00A86CFE" w:rsidRDefault="00A86CFE" w:rsidP="00F85F27"/>
    <w:p w14:paraId="21D53428" w14:textId="52F1AD70" w:rsidR="0060455E" w:rsidRDefault="000977B3" w:rsidP="00F85F27">
      <w:r>
        <w:t xml:space="preserve">In general, stakeholders believed </w:t>
      </w:r>
      <w:r w:rsidR="0078413C">
        <w:t xml:space="preserve">the benefits of biosecurity activity should outweigh the costs. It was believed that </w:t>
      </w:r>
      <w:r>
        <w:t xml:space="preserve">a transparent, consistent, science-based approach should be used to </w:t>
      </w:r>
      <w:r w:rsidR="0078413C">
        <w:t>determine</w:t>
      </w:r>
      <w:r w:rsidR="001C6E68">
        <w:t xml:space="preserve"> where to invest in biosecurity - </w:t>
      </w:r>
      <w:r w:rsidR="0078413C">
        <w:t>and that this assessment should value environmental and social benefits, not just economic aspects</w:t>
      </w:r>
      <w:r w:rsidR="0060455E">
        <w:t>.</w:t>
      </w:r>
      <w:r w:rsidR="0060455E" w:rsidRPr="0060455E">
        <w:t xml:space="preserve"> </w:t>
      </w:r>
      <w:r w:rsidR="0060455E">
        <w:t>The online survey supported this, with a mean response of 5.9 for the statement ‘Decisions relating to biosecurity should consider environmental, social and economic factors’. Furthermore, determining how public money should be spent on biosecurity was seen as an important issue (mean response 5.2, where 6</w:t>
      </w:r>
      <w:r w:rsidR="001C6E68">
        <w:t xml:space="preserve"> </w:t>
      </w:r>
      <w:r w:rsidR="0060455E">
        <w:t>=</w:t>
      </w:r>
      <w:r w:rsidR="001C6E68">
        <w:t xml:space="preserve"> </w:t>
      </w:r>
      <w:r w:rsidR="0060455E">
        <w:t>extremely important issue).</w:t>
      </w:r>
    </w:p>
    <w:p w14:paraId="0B3EB58E" w14:textId="77777777" w:rsidR="000977B3" w:rsidRPr="0078413C" w:rsidRDefault="0078413C" w:rsidP="00F85F27">
      <w:r>
        <w:t xml:space="preserve">Good communications to explain </w:t>
      </w:r>
      <w:r>
        <w:rPr>
          <w:i/>
        </w:rPr>
        <w:t xml:space="preserve">‘why we’re doing what we’re doing’ </w:t>
      </w:r>
      <w:r>
        <w:t xml:space="preserve">were also highlighted as an important aspect. </w:t>
      </w:r>
      <w:r w:rsidR="0060455E">
        <w:t>As such, prioritising and justifying investment into biosecurity is one area that should be tackled in a collaborative, cooperative and communicative manner, as described in section 3.4.</w:t>
      </w:r>
    </w:p>
    <w:p w14:paraId="2E01F26A" w14:textId="77777777" w:rsidR="00506964" w:rsidRDefault="003E3A05" w:rsidP="00F97828">
      <w:pPr>
        <w:pStyle w:val="Heading2"/>
      </w:pPr>
      <w:bookmarkStart w:id="20" w:name="_Toc411453000"/>
      <w:r>
        <w:t>Rules and r</w:t>
      </w:r>
      <w:r w:rsidR="00DC3819">
        <w:t>egulations</w:t>
      </w:r>
      <w:bookmarkEnd w:id="20"/>
    </w:p>
    <w:p w14:paraId="1BBD9F28" w14:textId="3446D403" w:rsidR="005D5DC2" w:rsidRDefault="003E3A05" w:rsidP="00F85F27">
      <w:r>
        <w:t>Rules and regulations</w:t>
      </w:r>
      <w:r w:rsidR="00F5323C">
        <w:t xml:space="preserve"> were</w:t>
      </w:r>
      <w:r w:rsidR="008327AB">
        <w:t xml:space="preserve"> </w:t>
      </w:r>
      <w:r w:rsidR="00667EDE">
        <w:t xml:space="preserve">raised by all stakeholders during the discussions, and </w:t>
      </w:r>
      <w:r w:rsidR="008327AB">
        <w:t xml:space="preserve">were seen as an integral part of the </w:t>
      </w:r>
      <w:r w:rsidR="00971BA2">
        <w:t>s</w:t>
      </w:r>
      <w:r w:rsidR="008327AB">
        <w:t xml:space="preserve">tate’s biosecurity system by all. </w:t>
      </w:r>
      <w:r>
        <w:t xml:space="preserve">Several thought that the </w:t>
      </w:r>
      <w:r w:rsidR="00DC47E6">
        <w:t>legislation was not strong enough; o</w:t>
      </w:r>
      <w:r>
        <w:t xml:space="preserve">thers </w:t>
      </w:r>
      <w:r w:rsidR="00DC47E6">
        <w:t>felt it was not clear</w:t>
      </w:r>
      <w:r>
        <w:t>. Nevertheless, all stakeholders saw value in having biosecurity underpinned by legislation.</w:t>
      </w:r>
    </w:p>
    <w:p w14:paraId="548F826B" w14:textId="7BAB6719" w:rsidR="00DC47E6" w:rsidRDefault="005D5DC2" w:rsidP="00F85F27">
      <w:r>
        <w:t>Government legislation/regulations were seen by the survey respondents as a relatively important issue (mean response = 5.0). Interestingly, community respondents were more likely to see this as an issue</w:t>
      </w:r>
      <w:r w:rsidR="00D15231">
        <w:t>, with 67% of community respondents rating this as an extremely important issue</w:t>
      </w:r>
      <w:r w:rsidR="001C6E68">
        <w:t xml:space="preserve"> (Figure</w:t>
      </w:r>
      <w:r>
        <w:t xml:space="preserve"> </w:t>
      </w:r>
      <w:r w:rsidR="00D15231">
        <w:t>6</w:t>
      </w:r>
      <w:r>
        <w:t xml:space="preserve">). This may correspond with the increasing </w:t>
      </w:r>
      <w:r w:rsidR="00B30338">
        <w:t>understanding</w:t>
      </w:r>
      <w:r>
        <w:t xml:space="preserve"> of the </w:t>
      </w:r>
      <w:r w:rsidR="00B30338">
        <w:t>ability of</w:t>
      </w:r>
      <w:r>
        <w:t xml:space="preserve"> biosecurity legislation to address environ</w:t>
      </w:r>
      <w:r w:rsidR="001C6E68">
        <w:t xml:space="preserve">mental pests such as feral cats - </w:t>
      </w:r>
      <w:r>
        <w:t>which featured heavily in discussions with community-based organisations and qualitative responses in the online survey by community-based respondents.</w:t>
      </w:r>
    </w:p>
    <w:p w14:paraId="208B2840" w14:textId="77777777" w:rsidR="005D5DC2" w:rsidRDefault="005D5DC2" w:rsidP="00F85F27"/>
    <w:p w14:paraId="1593EFE0" w14:textId="77777777" w:rsidR="005D5DC2" w:rsidRDefault="005D5DC2" w:rsidP="00F85F27">
      <w:pPr>
        <w:jc w:val="center"/>
      </w:pPr>
      <w:r>
        <w:rPr>
          <w:noProof/>
          <w:lang w:eastAsia="en-AU"/>
        </w:rPr>
        <w:lastRenderedPageBreak/>
        <w:drawing>
          <wp:inline distT="0" distB="0" distL="0" distR="0" wp14:anchorId="4E092E4B" wp14:editId="092879C7">
            <wp:extent cx="5400000" cy="2952000"/>
            <wp:effectExtent l="0" t="0" r="0" b="1270"/>
            <wp:docPr id="5" name="Chart 5" descr="Figure 6. Survey responses to government legislation/regulations as an issue or barrier to achieving effective biosecurity for WA."/>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76628EF" w14:textId="199F5CB7" w:rsidR="005D5DC2" w:rsidRPr="005D5DC2" w:rsidRDefault="005D5DC2" w:rsidP="00F64DC3">
      <w:pPr>
        <w:ind w:left="1134" w:right="-16" w:hanging="1134"/>
        <w:rPr>
          <w:b/>
        </w:rPr>
      </w:pPr>
      <w:proofErr w:type="gramStart"/>
      <w:r>
        <w:rPr>
          <w:b/>
        </w:rPr>
        <w:t xml:space="preserve">Figure </w:t>
      </w:r>
      <w:r w:rsidR="00D15231">
        <w:rPr>
          <w:b/>
        </w:rPr>
        <w:t>6</w:t>
      </w:r>
      <w:r w:rsidR="001C6E68">
        <w:rPr>
          <w:b/>
        </w:rPr>
        <w:t>.</w:t>
      </w:r>
      <w:proofErr w:type="gramEnd"/>
      <w:r>
        <w:rPr>
          <w:b/>
        </w:rPr>
        <w:t xml:space="preserve"> </w:t>
      </w:r>
      <w:r w:rsidR="00974F12">
        <w:rPr>
          <w:b/>
        </w:rPr>
        <w:tab/>
      </w:r>
      <w:proofErr w:type="gramStart"/>
      <w:r w:rsidR="004439BA">
        <w:rPr>
          <w:b/>
        </w:rPr>
        <w:t>S</w:t>
      </w:r>
      <w:r>
        <w:rPr>
          <w:b/>
        </w:rPr>
        <w:t xml:space="preserve">urvey responses </w:t>
      </w:r>
      <w:r w:rsidR="004439BA">
        <w:rPr>
          <w:b/>
        </w:rPr>
        <w:t xml:space="preserve">to government legislation/regulations </w:t>
      </w:r>
      <w:r w:rsidR="00974F12">
        <w:rPr>
          <w:b/>
        </w:rPr>
        <w:t xml:space="preserve">as an issue </w:t>
      </w:r>
      <w:r w:rsidR="004439BA">
        <w:rPr>
          <w:b/>
        </w:rPr>
        <w:t>or barrier to achieving effective biosecurity for WA.</w:t>
      </w:r>
      <w:proofErr w:type="gramEnd"/>
    </w:p>
    <w:p w14:paraId="553D3A61" w14:textId="77777777" w:rsidR="004439BA" w:rsidRDefault="004439BA" w:rsidP="00F85F27"/>
    <w:p w14:paraId="28F5881C" w14:textId="77E2BC92" w:rsidR="00D932AF" w:rsidRDefault="005D5DC2" w:rsidP="00F501B4">
      <w:pPr>
        <w:pStyle w:val="BodyText1"/>
      </w:pPr>
      <w:r>
        <w:t>Furthermore, a</w:t>
      </w:r>
      <w:r w:rsidR="00DC47E6">
        <w:t>n important issue raised in several stakeholder discussions was the ability of the government to properly enforce</w:t>
      </w:r>
      <w:r w:rsidR="00D932AF">
        <w:t xml:space="preserve"> its legislation to ensure people were </w:t>
      </w:r>
      <w:r w:rsidR="00D932AF">
        <w:rPr>
          <w:i/>
        </w:rPr>
        <w:t>‘doing the right thing’</w:t>
      </w:r>
      <w:r w:rsidR="00D932AF">
        <w:t>.</w:t>
      </w:r>
      <w:r w:rsidR="00DC47E6">
        <w:t xml:space="preserve"> </w:t>
      </w:r>
      <w:r w:rsidR="00D932AF">
        <w:t>It was acknowledged that the rule</w:t>
      </w:r>
      <w:r w:rsidR="00971BA2">
        <w:t>s were there to facilitate the s</w:t>
      </w:r>
      <w:r w:rsidR="00D932AF">
        <w:t xml:space="preserve">tate’s biosecurity; however, this would not be achieved if the legislation was not enforced. </w:t>
      </w:r>
      <w:r w:rsidR="00DC47E6">
        <w:t>It was interesting to note that the industry and community stakehold</w:t>
      </w:r>
      <w:r w:rsidR="00F5323C">
        <w:t>ers saw biosecurity legislation</w:t>
      </w:r>
      <w:r w:rsidR="00DC47E6">
        <w:t xml:space="preserve"> and its enforcement as important, rather than as a hindrance to their industry or lifestyle.</w:t>
      </w:r>
      <w:r w:rsidR="00D932AF">
        <w:t xml:space="preserve"> On the other hand, several stakeholders noted that ‘red tape’ can impa</w:t>
      </w:r>
      <w:r w:rsidR="00971BA2">
        <w:t>ct on the effectiveness of the s</w:t>
      </w:r>
      <w:r w:rsidR="00D932AF">
        <w:t xml:space="preserve">tate’s biosecurity. In </w:t>
      </w:r>
      <w:r w:rsidR="00B30338">
        <w:t xml:space="preserve">all </w:t>
      </w:r>
      <w:r w:rsidR="00D932AF">
        <w:t>these instances, the stakeholders</w:t>
      </w:r>
      <w:r w:rsidR="00F5323C">
        <w:t xml:space="preserve"> groups</w:t>
      </w:r>
      <w:r w:rsidR="00D932AF">
        <w:t xml:space="preserve"> were referring to the Australian Pesticides and Veterinarian Medicines Authority </w:t>
      </w:r>
      <w:r w:rsidR="00667EDE">
        <w:t xml:space="preserve">constraining </w:t>
      </w:r>
      <w:r w:rsidR="00D932AF">
        <w:t xml:space="preserve">the use of certain vaccines, baits and other chemicals </w:t>
      </w:r>
      <w:r w:rsidR="00243A62">
        <w:t>believed necessary</w:t>
      </w:r>
      <w:r w:rsidR="00D932AF">
        <w:t xml:space="preserve"> for</w:t>
      </w:r>
      <w:r w:rsidR="00243A62">
        <w:t xml:space="preserve"> the</w:t>
      </w:r>
      <w:r w:rsidR="00D932AF">
        <w:t xml:space="preserve"> effective control of biosecurity pests, weeds or diseases.</w:t>
      </w:r>
      <w:r>
        <w:t xml:space="preserve"> The impact on businesses/industry of complying with biosecurity regulations was seen as the least important issue by the online survey respondents.</w:t>
      </w:r>
    </w:p>
    <w:p w14:paraId="6E737116" w14:textId="77777777" w:rsidR="00DC3819" w:rsidRDefault="003E3A05" w:rsidP="00F501B4">
      <w:pPr>
        <w:pStyle w:val="BodyText1"/>
      </w:pPr>
      <w:r>
        <w:t>In general</w:t>
      </w:r>
      <w:r w:rsidR="00D932AF">
        <w:t>,</w:t>
      </w:r>
      <w:r>
        <w:t xml:space="preserve"> industry and community stakeholders involved in the discussions accepted the regulations an</w:t>
      </w:r>
      <w:r w:rsidR="00F5323C">
        <w:t>d adhered to the requirements. T</w:t>
      </w:r>
      <w:r>
        <w:t>he more mature industries noted that the compliance obligations were just a part of their routine business.</w:t>
      </w:r>
    </w:p>
    <w:p w14:paraId="1BA3B892" w14:textId="77777777" w:rsidR="00DC3819" w:rsidRDefault="00DC3819" w:rsidP="00F97828">
      <w:pPr>
        <w:pStyle w:val="Heading2"/>
      </w:pPr>
      <w:bookmarkStart w:id="21" w:name="_Toc411453001"/>
      <w:r>
        <w:t>Preparedness</w:t>
      </w:r>
      <w:bookmarkEnd w:id="21"/>
    </w:p>
    <w:p w14:paraId="72EC7F9E" w14:textId="4B9ED213" w:rsidR="00DC3819" w:rsidRDefault="00165D80" w:rsidP="00F85F27">
      <w:r>
        <w:t xml:space="preserve">A smaller theme to emerge from the stakeholder discussions was the area of ‘preparedness’. Several stakeholders identified aspects of </w:t>
      </w:r>
      <w:r w:rsidR="00D84AC8">
        <w:t>lo</w:t>
      </w:r>
      <w:r w:rsidR="003E48A3">
        <w:t>ok</w:t>
      </w:r>
      <w:r w:rsidR="00D84AC8">
        <w:t>ing</w:t>
      </w:r>
      <w:r w:rsidR="003E48A3">
        <w:t xml:space="preserve"> forward</w:t>
      </w:r>
      <w:r w:rsidR="00D84AC8">
        <w:t xml:space="preserve"> – </w:t>
      </w:r>
      <w:r w:rsidR="00D84AC8">
        <w:rPr>
          <w:i/>
        </w:rPr>
        <w:t>‘scanning the horizon’</w:t>
      </w:r>
      <w:r w:rsidR="00D84AC8">
        <w:t xml:space="preserve"> – </w:t>
      </w:r>
      <w:r w:rsidR="003E48A3">
        <w:t>to ident</w:t>
      </w:r>
      <w:r w:rsidR="00971BA2">
        <w:t>ify the potential risks to the s</w:t>
      </w:r>
      <w:r w:rsidR="003E48A3">
        <w:t>tate</w:t>
      </w:r>
      <w:r>
        <w:t xml:space="preserve"> or industry, and therefore help ensure we are ready to respond, and to generally keep abreast of the issues at both national and international levels.</w:t>
      </w:r>
    </w:p>
    <w:p w14:paraId="75E8D4A5" w14:textId="11A1774D" w:rsidR="00D84AC8" w:rsidRDefault="00165D80" w:rsidP="00F85F27">
      <w:r>
        <w:t>The other aspect of ‘preparedness’ that was raised by stakeh</w:t>
      </w:r>
      <w:r w:rsidR="006E6825">
        <w:t>olders, particularly government</w:t>
      </w:r>
      <w:r>
        <w:t>, was</w:t>
      </w:r>
      <w:r w:rsidR="006E6825">
        <w:t xml:space="preserve"> the need to e</w:t>
      </w:r>
      <w:r w:rsidR="00D84AC8">
        <w:t>nsur</w:t>
      </w:r>
      <w:r w:rsidR="006E6825">
        <w:t>e</w:t>
      </w:r>
      <w:r w:rsidR="00971BA2">
        <w:t xml:space="preserve"> the s</w:t>
      </w:r>
      <w:r w:rsidR="00D84AC8">
        <w:t xml:space="preserve">tate has the ongoing capacity and resources to </w:t>
      </w:r>
      <w:r w:rsidR="006E6825">
        <w:t>respond to</w:t>
      </w:r>
      <w:r w:rsidR="00D84AC8">
        <w:t xml:space="preserve"> </w:t>
      </w:r>
      <w:r w:rsidR="006E6825">
        <w:t>large- and small-scale biosecurity incursions</w:t>
      </w:r>
      <w:r w:rsidR="00D84AC8">
        <w:t>.</w:t>
      </w:r>
      <w:r w:rsidR="006E6825">
        <w:t xml:space="preserve"> This included adequately trained staff, diagnostic capability, financial resources, systems and processes.</w:t>
      </w:r>
      <w:r w:rsidR="00A7643B">
        <w:t xml:space="preserve"> </w:t>
      </w:r>
      <w:r w:rsidR="00F937D4">
        <w:t xml:space="preserve">There was a very strong expectation amongst the stakeholders that the </w:t>
      </w:r>
      <w:r w:rsidR="00A7643B">
        <w:t xml:space="preserve">government </w:t>
      </w:r>
      <w:r w:rsidR="00F937D4">
        <w:t xml:space="preserve">would </w:t>
      </w:r>
      <w:r w:rsidR="00A7643B">
        <w:t>have the</w:t>
      </w:r>
      <w:r w:rsidR="00F937D4">
        <w:t xml:space="preserve"> necessary</w:t>
      </w:r>
      <w:r w:rsidR="00A7643B">
        <w:t xml:space="preserve"> </w:t>
      </w:r>
      <w:r w:rsidR="00A7643B">
        <w:lastRenderedPageBreak/>
        <w:t>expertise and resources to support an effective biosecurity system</w:t>
      </w:r>
      <w:r w:rsidR="00F937D4">
        <w:t>, including emergency response</w:t>
      </w:r>
      <w:r w:rsidR="00A7643B">
        <w:t xml:space="preserve"> (mean response = 6.6, where 7 = strongly agree).</w:t>
      </w:r>
    </w:p>
    <w:p w14:paraId="33653DD5" w14:textId="77777777" w:rsidR="00DC3819" w:rsidRDefault="00DC3819" w:rsidP="00F97828">
      <w:pPr>
        <w:pStyle w:val="Heading2"/>
      </w:pPr>
      <w:bookmarkStart w:id="22" w:name="_Toc411453002"/>
      <w:r>
        <w:t>Research, innovation and continuous improvement</w:t>
      </w:r>
      <w:bookmarkEnd w:id="22"/>
    </w:p>
    <w:p w14:paraId="4E01D352" w14:textId="16E418DB" w:rsidR="00EE38C1" w:rsidRDefault="00667EDE" w:rsidP="00F501B4">
      <w:pPr>
        <w:pStyle w:val="BodyText1"/>
      </w:pPr>
      <w:r>
        <w:t>Keeping abr</w:t>
      </w:r>
      <w:r w:rsidR="001C6E68">
        <w:t>east of the latest scientific/</w:t>
      </w:r>
      <w:r>
        <w:t xml:space="preserve">technological advances was an important aspect of the </w:t>
      </w:r>
      <w:r w:rsidR="00971BA2">
        <w:t>s</w:t>
      </w:r>
      <w:r>
        <w:t xml:space="preserve">tate’s biosecurity system for many industry and government stakeholders, and for some research-type community organisations. There was a strong continuous improvement ethic amongst the stakeholders </w:t>
      </w:r>
      <w:r>
        <w:rPr>
          <w:i/>
        </w:rPr>
        <w:t>‘to make sure we are doing the best we can’</w:t>
      </w:r>
      <w:r>
        <w:t xml:space="preserve">, </w:t>
      </w:r>
      <w:r w:rsidR="0012188B">
        <w:t>with</w:t>
      </w:r>
      <w:r>
        <w:t xml:space="preserve"> research, development and innovation seen as an important aspect of this.</w:t>
      </w:r>
      <w:r w:rsidR="00EE38C1">
        <w:t xml:space="preserve"> T</w:t>
      </w:r>
      <w:r w:rsidR="00EE38C1" w:rsidRPr="00EE38C1">
        <w:t>his was corroborated by the survey respondents, with a mean response of 6.5 to the statement ‘We need to keep looking for new ways to address pests, weeds and diseases’ (where 1 = strongly disagree; and 7 = strongly agree).</w:t>
      </w:r>
    </w:p>
    <w:p w14:paraId="3714C8D5" w14:textId="050FDDD5" w:rsidR="00D84AC8" w:rsidRDefault="00667EDE" w:rsidP="00F501B4">
      <w:pPr>
        <w:pStyle w:val="BodyText1"/>
      </w:pPr>
      <w:r>
        <w:t>State-based research and development was also seen to be of particular</w:t>
      </w:r>
      <w:r w:rsidR="001C6E68">
        <w:t xml:space="preserve"> importance for two key reasons - </w:t>
      </w:r>
      <w:r>
        <w:t xml:space="preserve">to contribute to the advancement of the biosecurity </w:t>
      </w:r>
      <w:proofErr w:type="gramStart"/>
      <w:r>
        <w:t>knowledge,</w:t>
      </w:r>
      <w:proofErr w:type="gramEnd"/>
      <w:r>
        <w:t xml:space="preserve"> and to develop processes, systems and technologies that have direct application within the Western Australian context.</w:t>
      </w:r>
    </w:p>
    <w:p w14:paraId="6B4594E8" w14:textId="77777777" w:rsidR="00A5474B" w:rsidRDefault="00A5474B" w:rsidP="00F97828">
      <w:pPr>
        <w:pStyle w:val="Heading2"/>
      </w:pPr>
      <w:bookmarkStart w:id="23" w:name="_Toc411453003"/>
      <w:r>
        <w:t>Industry, government and community needs</w:t>
      </w:r>
      <w:bookmarkEnd w:id="23"/>
    </w:p>
    <w:p w14:paraId="676E73E0" w14:textId="77777777" w:rsidR="00783DCE" w:rsidRDefault="00A5474B" w:rsidP="00F501B4">
      <w:pPr>
        <w:pStyle w:val="BodyText1"/>
      </w:pPr>
      <w:r>
        <w:t xml:space="preserve">The online questionnaire provided a snapshot of the </w:t>
      </w:r>
      <w:r w:rsidR="00A04367">
        <w:t xml:space="preserve">top </w:t>
      </w:r>
      <w:r>
        <w:t>needs of industry, government and community, with regard to biosecurity</w:t>
      </w:r>
      <w:r w:rsidR="00A04367">
        <w:t xml:space="preserve"> (Table </w:t>
      </w:r>
      <w:r w:rsidR="00D6380F">
        <w:t>7</w:t>
      </w:r>
      <w:r w:rsidR="00A04367">
        <w:t>)</w:t>
      </w:r>
      <w:r w:rsidR="00464E2D">
        <w:t>. Respondents were asked to state their top three needs with regard to maintaining or improving biosecurity for Western Australia</w:t>
      </w:r>
      <w:r>
        <w:t>.</w:t>
      </w:r>
      <w:r w:rsidR="00D6380F">
        <w:t xml:space="preserve"> ‘</w:t>
      </w:r>
      <w:r w:rsidR="00D6380F" w:rsidRPr="00D6380F">
        <w:t>Improved industry and community awareness / understanding about biosecurity</w:t>
      </w:r>
      <w:r w:rsidR="00D6380F">
        <w:t>’ and ‘government resources’ were identified by all stakeholder groups as important needs.</w:t>
      </w:r>
      <w:r w:rsidR="00783DCE">
        <w:t xml:space="preserve"> </w:t>
      </w:r>
      <w:r w:rsidR="00AA48B1">
        <w:t>In this context, b</w:t>
      </w:r>
      <w:r w:rsidR="00D6380F">
        <w:t xml:space="preserve">iosecurity awareness/understanding </w:t>
      </w:r>
      <w:r w:rsidR="00AA48B1">
        <w:t xml:space="preserve">is synonymous with ‘engagement, education and awareness’ discussed in section 3.5, and the need was consistent across the three sectors. </w:t>
      </w:r>
    </w:p>
    <w:p w14:paraId="13605249" w14:textId="77777777" w:rsidR="00783DCE" w:rsidRDefault="00AA48B1" w:rsidP="00F501B4">
      <w:pPr>
        <w:pStyle w:val="BodyText1"/>
      </w:pPr>
      <w:r>
        <w:t>‘</w:t>
      </w:r>
      <w:r w:rsidR="00783DCE">
        <w:t>G</w:t>
      </w:r>
      <w:r>
        <w:t xml:space="preserve">overnment resources’, as a need, had subtle nuances across the sectors. In terms of industry, </w:t>
      </w:r>
      <w:r w:rsidR="006437E1">
        <w:t>this</w:t>
      </w:r>
      <w:r w:rsidR="00C82AE3">
        <w:t xml:space="preserve"> encompassed </w:t>
      </w:r>
      <w:r w:rsidR="006437E1">
        <w:t>financial resources</w:t>
      </w:r>
      <w:r w:rsidR="00C82AE3">
        <w:t xml:space="preserve"> as well as ‘support’, </w:t>
      </w:r>
      <w:proofErr w:type="gramStart"/>
      <w:r w:rsidR="00C82AE3">
        <w:t>which may be non-monetary.</w:t>
      </w:r>
      <w:proofErr w:type="gramEnd"/>
      <w:r w:rsidR="00C82AE3">
        <w:t xml:space="preserve"> In terms of financial resources, three key needs were identified</w:t>
      </w:r>
      <w:r w:rsidR="00464E2D">
        <w:t>:</w:t>
      </w:r>
    </w:p>
    <w:p w14:paraId="7141824C" w14:textId="4B9BA78C" w:rsidR="00464E2D" w:rsidRPr="00E36846" w:rsidRDefault="00464E2D" w:rsidP="00E36846">
      <w:pPr>
        <w:pStyle w:val="ListParagraph"/>
      </w:pPr>
      <w:r w:rsidRPr="00E36846">
        <w:t>A need for adequate funding to be available for Government to undertake i</w:t>
      </w:r>
      <w:r w:rsidR="00BD292E" w:rsidRPr="00E36846">
        <w:t>ts biosecurity responsibilities</w:t>
      </w:r>
    </w:p>
    <w:p w14:paraId="79309E42" w14:textId="2E97F92E" w:rsidR="00783DCE" w:rsidRPr="00E36846" w:rsidRDefault="00464E2D" w:rsidP="00E36846">
      <w:pPr>
        <w:pStyle w:val="ListParagraph"/>
      </w:pPr>
      <w:r w:rsidRPr="00E36846">
        <w:t xml:space="preserve">A need for </w:t>
      </w:r>
      <w:r w:rsidR="00783DCE" w:rsidRPr="00E36846">
        <w:t>Government to commit resources to specific areas</w:t>
      </w:r>
      <w:r w:rsidRPr="00E36846">
        <w:t>,</w:t>
      </w:r>
      <w:r w:rsidR="00783DCE" w:rsidRPr="00E36846">
        <w:t xml:space="preserve"> such as border biosecurity activities</w:t>
      </w:r>
    </w:p>
    <w:p w14:paraId="59344588" w14:textId="77777777" w:rsidR="00464E2D" w:rsidRPr="00E36846" w:rsidRDefault="00464E2D" w:rsidP="00E36846">
      <w:pPr>
        <w:pStyle w:val="ListParagraph"/>
      </w:pPr>
      <w:r w:rsidRPr="00E36846">
        <w:t xml:space="preserve">A need for government funding to support industry in their </w:t>
      </w:r>
      <w:r w:rsidR="00B30338" w:rsidRPr="00E36846">
        <w:t xml:space="preserve">biosecurity </w:t>
      </w:r>
      <w:r w:rsidRPr="00E36846">
        <w:t>activities.</w:t>
      </w:r>
    </w:p>
    <w:p w14:paraId="455C607A" w14:textId="77777777" w:rsidR="00C82AE3" w:rsidRDefault="00C82AE3" w:rsidP="00F85F27">
      <w:r>
        <w:t>The meaning of ‘Government support’ was less specific, but was taken to include non-financial support such as expertise and advice.</w:t>
      </w:r>
    </w:p>
    <w:p w14:paraId="03EDFBA5" w14:textId="77777777" w:rsidR="00464E2D" w:rsidRDefault="00464E2D" w:rsidP="00F85F27">
      <w:r>
        <w:t xml:space="preserve">For Government, ‘government resources’ related specifically to the need for adequate funding </w:t>
      </w:r>
      <w:r w:rsidR="00C82AE3">
        <w:t xml:space="preserve">and staff to allow </w:t>
      </w:r>
      <w:r>
        <w:t>Government</w:t>
      </w:r>
      <w:r w:rsidR="00C82AE3">
        <w:t>’s</w:t>
      </w:r>
      <w:r>
        <w:t xml:space="preserve"> biosecurity responsibilities</w:t>
      </w:r>
      <w:r w:rsidR="00C82AE3">
        <w:t xml:space="preserve"> to be undertaken</w:t>
      </w:r>
      <w:r>
        <w:t>.</w:t>
      </w:r>
      <w:r w:rsidR="00C82AE3">
        <w:t xml:space="preserve"> This was similar to the community’s needs; however, what constitutes ‘government responsibilities’ may differ between government, industry and community.</w:t>
      </w:r>
    </w:p>
    <w:p w14:paraId="73F6F8EE" w14:textId="77777777" w:rsidR="00A86CFE" w:rsidRDefault="00A86CFE">
      <w:pPr>
        <w:spacing w:before="0" w:line="240" w:lineRule="auto"/>
        <w:jc w:val="center"/>
        <w:rPr>
          <w:b/>
        </w:rPr>
      </w:pPr>
      <w:r>
        <w:rPr>
          <w:b/>
        </w:rPr>
        <w:br w:type="page"/>
      </w:r>
    </w:p>
    <w:p w14:paraId="12F58795" w14:textId="12FC4BDC" w:rsidR="00A04367" w:rsidRPr="004B558A" w:rsidRDefault="00A04367" w:rsidP="009321BC">
      <w:pPr>
        <w:spacing w:after="200"/>
        <w:rPr>
          <w:b/>
        </w:rPr>
      </w:pPr>
      <w:proofErr w:type="gramStart"/>
      <w:r w:rsidRPr="00D6380F">
        <w:rPr>
          <w:b/>
        </w:rPr>
        <w:lastRenderedPageBreak/>
        <w:t xml:space="preserve">Table </w:t>
      </w:r>
      <w:r w:rsidR="00D6380F" w:rsidRPr="00D6380F">
        <w:rPr>
          <w:b/>
        </w:rPr>
        <w:t>7</w:t>
      </w:r>
      <w:r w:rsidR="001C6E68">
        <w:rPr>
          <w:b/>
        </w:rPr>
        <w:t>.</w:t>
      </w:r>
      <w:proofErr w:type="gramEnd"/>
      <w:r w:rsidRPr="00D6380F">
        <w:rPr>
          <w:b/>
        </w:rPr>
        <w:t xml:space="preserve"> </w:t>
      </w:r>
      <w:r w:rsidR="00D6380F" w:rsidRPr="00D6380F">
        <w:rPr>
          <w:b/>
        </w:rPr>
        <w:t>The top biosecurity needs of industry, government and community</w:t>
      </w:r>
      <w:r w:rsidRPr="00D6380F">
        <w:rPr>
          <w:b/>
        </w:rPr>
        <w:t>.</w:t>
      </w:r>
    </w:p>
    <w:tbl>
      <w:tblPr>
        <w:tblStyle w:val="biosecurity"/>
        <w:tblW w:w="9639" w:type="dxa"/>
        <w:tblLook w:val="04A0" w:firstRow="1" w:lastRow="0" w:firstColumn="1" w:lastColumn="0" w:noHBand="0" w:noVBand="1"/>
        <w:tblDescription w:val="Table 7 - Top biosecurity needs of industry, government and community"/>
      </w:tblPr>
      <w:tblGrid>
        <w:gridCol w:w="1381"/>
        <w:gridCol w:w="6680"/>
        <w:gridCol w:w="1578"/>
      </w:tblGrid>
      <w:tr w:rsidR="002E554A" w:rsidRPr="00A04367" w14:paraId="671240CF" w14:textId="77777777" w:rsidTr="0077513D">
        <w:trPr>
          <w:cnfStyle w:val="100000000000" w:firstRow="1" w:lastRow="0" w:firstColumn="0" w:lastColumn="0" w:oddVBand="0" w:evenVBand="0" w:oddHBand="0" w:evenHBand="0" w:firstRowFirstColumn="0" w:firstRowLastColumn="0" w:lastRowFirstColumn="0" w:lastRowLastColumn="0"/>
          <w:cantSplit/>
          <w:trHeight w:val="477"/>
          <w:tblHeader/>
        </w:trPr>
        <w:tc>
          <w:tcPr>
            <w:tcW w:w="1381" w:type="dxa"/>
            <w:tcBorders>
              <w:top w:val="single" w:sz="4" w:space="0" w:color="auto"/>
              <w:bottom w:val="single" w:sz="4" w:space="0" w:color="auto"/>
            </w:tcBorders>
          </w:tcPr>
          <w:p w14:paraId="09E4D632" w14:textId="3F2385FB" w:rsidR="002E554A" w:rsidRDefault="002E554A" w:rsidP="00F85F27">
            <w:pPr>
              <w:spacing w:line="240" w:lineRule="auto"/>
              <w:rPr>
                <w:b/>
                <w:bCs/>
                <w:sz w:val="20"/>
                <w:szCs w:val="20"/>
              </w:rPr>
            </w:pPr>
            <w:r>
              <w:rPr>
                <w:b/>
                <w:bCs/>
                <w:sz w:val="20"/>
                <w:szCs w:val="20"/>
              </w:rPr>
              <w:t>Sector</w:t>
            </w:r>
          </w:p>
        </w:tc>
        <w:tc>
          <w:tcPr>
            <w:tcW w:w="6680" w:type="dxa"/>
            <w:tcBorders>
              <w:top w:val="single" w:sz="4" w:space="0" w:color="auto"/>
              <w:bottom w:val="single" w:sz="4" w:space="0" w:color="auto"/>
            </w:tcBorders>
            <w:hideMark/>
          </w:tcPr>
          <w:p w14:paraId="09796012" w14:textId="5F959E40" w:rsidR="002E554A" w:rsidRPr="00A04367" w:rsidRDefault="002E554A" w:rsidP="00F85F27">
            <w:pPr>
              <w:spacing w:line="240" w:lineRule="auto"/>
              <w:rPr>
                <w:b/>
                <w:bCs/>
                <w:sz w:val="20"/>
                <w:szCs w:val="20"/>
              </w:rPr>
            </w:pPr>
            <w:r>
              <w:rPr>
                <w:b/>
                <w:bCs/>
                <w:sz w:val="20"/>
                <w:szCs w:val="20"/>
              </w:rPr>
              <w:t>Need</w:t>
            </w:r>
          </w:p>
        </w:tc>
        <w:tc>
          <w:tcPr>
            <w:tcW w:w="1578" w:type="dxa"/>
            <w:tcBorders>
              <w:top w:val="single" w:sz="4" w:space="0" w:color="auto"/>
              <w:bottom w:val="single" w:sz="4" w:space="0" w:color="auto"/>
            </w:tcBorders>
            <w:hideMark/>
          </w:tcPr>
          <w:p w14:paraId="1067541B" w14:textId="77777777" w:rsidR="002E554A" w:rsidRPr="00A04367" w:rsidRDefault="002E554A" w:rsidP="00F85F27">
            <w:pPr>
              <w:spacing w:line="240" w:lineRule="auto"/>
              <w:jc w:val="center"/>
              <w:rPr>
                <w:b/>
                <w:bCs/>
                <w:sz w:val="20"/>
                <w:szCs w:val="20"/>
              </w:rPr>
            </w:pPr>
            <w:r>
              <w:rPr>
                <w:b/>
                <w:bCs/>
                <w:sz w:val="20"/>
                <w:szCs w:val="20"/>
              </w:rPr>
              <w:t>Responses</w:t>
            </w:r>
          </w:p>
        </w:tc>
      </w:tr>
      <w:tr w:rsidR="002E554A" w:rsidRPr="008B6868" w14:paraId="221D3BAD" w14:textId="77777777" w:rsidTr="0077513D">
        <w:trPr>
          <w:cantSplit/>
          <w:trHeight w:val="648"/>
        </w:trPr>
        <w:tc>
          <w:tcPr>
            <w:tcW w:w="1381" w:type="dxa"/>
            <w:tcBorders>
              <w:top w:val="single" w:sz="4" w:space="0" w:color="auto"/>
            </w:tcBorders>
            <w:shd w:val="clear" w:color="auto" w:fill="FFFFFF" w:themeFill="background1"/>
          </w:tcPr>
          <w:p w14:paraId="4F29723E" w14:textId="0394820F" w:rsidR="002E554A" w:rsidRDefault="002E554A" w:rsidP="002E554A">
            <w:pPr>
              <w:rPr>
                <w:sz w:val="20"/>
                <w:szCs w:val="20"/>
              </w:rPr>
            </w:pPr>
            <w:r>
              <w:rPr>
                <w:sz w:val="20"/>
                <w:szCs w:val="20"/>
              </w:rPr>
              <w:t>Industry</w:t>
            </w:r>
            <w:r>
              <w:rPr>
                <w:sz w:val="20"/>
                <w:szCs w:val="20"/>
              </w:rPr>
              <w:br/>
              <w:t>(n=253)</w:t>
            </w:r>
          </w:p>
        </w:tc>
        <w:tc>
          <w:tcPr>
            <w:tcW w:w="6680" w:type="dxa"/>
            <w:tcBorders>
              <w:top w:val="single" w:sz="4" w:space="0" w:color="auto"/>
            </w:tcBorders>
          </w:tcPr>
          <w:p w14:paraId="126E3D56" w14:textId="2AF9E095" w:rsidR="002E554A" w:rsidRPr="008B6868" w:rsidRDefault="002E554A" w:rsidP="00F85F27">
            <w:pPr>
              <w:rPr>
                <w:sz w:val="20"/>
                <w:szCs w:val="20"/>
              </w:rPr>
            </w:pPr>
            <w:r>
              <w:rPr>
                <w:sz w:val="20"/>
                <w:szCs w:val="20"/>
              </w:rPr>
              <w:t>Improved industry and community awareness / understanding about biosecurity</w:t>
            </w:r>
          </w:p>
        </w:tc>
        <w:tc>
          <w:tcPr>
            <w:tcW w:w="1578" w:type="dxa"/>
            <w:tcBorders>
              <w:top w:val="single" w:sz="4" w:space="0" w:color="auto"/>
            </w:tcBorders>
          </w:tcPr>
          <w:p w14:paraId="2A33D91F" w14:textId="77777777" w:rsidR="002E554A" w:rsidRPr="008B6868" w:rsidRDefault="002E554A" w:rsidP="00F85F27">
            <w:pPr>
              <w:jc w:val="center"/>
              <w:rPr>
                <w:sz w:val="20"/>
                <w:szCs w:val="20"/>
              </w:rPr>
            </w:pPr>
            <w:r>
              <w:rPr>
                <w:sz w:val="20"/>
                <w:szCs w:val="20"/>
              </w:rPr>
              <w:t>17%</w:t>
            </w:r>
          </w:p>
        </w:tc>
      </w:tr>
      <w:tr w:rsidR="002E554A" w:rsidRPr="008B6868" w14:paraId="568A2BA1" w14:textId="77777777" w:rsidTr="0077513D">
        <w:trPr>
          <w:cnfStyle w:val="000000010000" w:firstRow="0" w:lastRow="0" w:firstColumn="0" w:lastColumn="0" w:oddVBand="0" w:evenVBand="0" w:oddHBand="0" w:evenHBand="1" w:firstRowFirstColumn="0" w:firstRowLastColumn="0" w:lastRowFirstColumn="0" w:lastRowLastColumn="0"/>
          <w:cantSplit/>
          <w:trHeight w:val="544"/>
        </w:trPr>
        <w:tc>
          <w:tcPr>
            <w:tcW w:w="1381" w:type="dxa"/>
            <w:shd w:val="clear" w:color="auto" w:fill="FFFFFF" w:themeFill="background1"/>
          </w:tcPr>
          <w:p w14:paraId="0D88110D" w14:textId="0F538A8A" w:rsidR="002E554A" w:rsidRDefault="002E554A" w:rsidP="00F85F27">
            <w:pPr>
              <w:rPr>
                <w:sz w:val="20"/>
                <w:szCs w:val="20"/>
              </w:rPr>
            </w:pPr>
          </w:p>
        </w:tc>
        <w:tc>
          <w:tcPr>
            <w:tcW w:w="6680" w:type="dxa"/>
          </w:tcPr>
          <w:p w14:paraId="19ADEEEF" w14:textId="0410A49F" w:rsidR="002E554A" w:rsidRPr="008B6868" w:rsidRDefault="002E554A" w:rsidP="00F85F27">
            <w:pPr>
              <w:rPr>
                <w:sz w:val="20"/>
                <w:szCs w:val="20"/>
              </w:rPr>
            </w:pPr>
            <w:r>
              <w:rPr>
                <w:sz w:val="20"/>
                <w:szCs w:val="20"/>
              </w:rPr>
              <w:t>Increased government investment in biosecurity</w:t>
            </w:r>
          </w:p>
        </w:tc>
        <w:tc>
          <w:tcPr>
            <w:tcW w:w="1578" w:type="dxa"/>
          </w:tcPr>
          <w:p w14:paraId="40B40E02" w14:textId="77777777" w:rsidR="002E554A" w:rsidRPr="008B6868" w:rsidRDefault="002E554A" w:rsidP="00F85F27">
            <w:pPr>
              <w:jc w:val="center"/>
              <w:rPr>
                <w:sz w:val="20"/>
                <w:szCs w:val="20"/>
              </w:rPr>
            </w:pPr>
            <w:r>
              <w:rPr>
                <w:sz w:val="20"/>
                <w:szCs w:val="20"/>
              </w:rPr>
              <w:t>12%</w:t>
            </w:r>
          </w:p>
        </w:tc>
      </w:tr>
      <w:tr w:rsidR="002E554A" w:rsidRPr="008B6868" w14:paraId="7E2FF6AF" w14:textId="77777777" w:rsidTr="0077513D">
        <w:trPr>
          <w:cantSplit/>
          <w:trHeight w:val="544"/>
        </w:trPr>
        <w:tc>
          <w:tcPr>
            <w:tcW w:w="1381" w:type="dxa"/>
            <w:shd w:val="clear" w:color="auto" w:fill="FFFFFF" w:themeFill="background1"/>
          </w:tcPr>
          <w:p w14:paraId="5FE8B7A3" w14:textId="77777777" w:rsidR="002E554A" w:rsidRDefault="002E554A" w:rsidP="00F85F27">
            <w:pPr>
              <w:rPr>
                <w:sz w:val="20"/>
                <w:szCs w:val="20"/>
              </w:rPr>
            </w:pPr>
          </w:p>
        </w:tc>
        <w:tc>
          <w:tcPr>
            <w:tcW w:w="6680" w:type="dxa"/>
          </w:tcPr>
          <w:p w14:paraId="021AAC70" w14:textId="3802D66C" w:rsidR="002E554A" w:rsidRPr="00640864" w:rsidRDefault="002E554A" w:rsidP="00F85F27">
            <w:pPr>
              <w:rPr>
                <w:sz w:val="20"/>
                <w:szCs w:val="20"/>
              </w:rPr>
            </w:pPr>
            <w:r>
              <w:rPr>
                <w:sz w:val="20"/>
                <w:szCs w:val="20"/>
              </w:rPr>
              <w:t>Maintained / improved border biosecurity</w:t>
            </w:r>
          </w:p>
        </w:tc>
        <w:tc>
          <w:tcPr>
            <w:tcW w:w="1578" w:type="dxa"/>
          </w:tcPr>
          <w:p w14:paraId="5455E49B" w14:textId="77777777" w:rsidR="002E554A" w:rsidRPr="008B6868" w:rsidRDefault="002E554A" w:rsidP="00F85F27">
            <w:pPr>
              <w:jc w:val="center"/>
              <w:rPr>
                <w:sz w:val="20"/>
                <w:szCs w:val="20"/>
              </w:rPr>
            </w:pPr>
            <w:r>
              <w:rPr>
                <w:sz w:val="20"/>
                <w:szCs w:val="20"/>
              </w:rPr>
              <w:t>8%</w:t>
            </w:r>
          </w:p>
        </w:tc>
      </w:tr>
      <w:tr w:rsidR="002E554A" w:rsidRPr="008B6868" w14:paraId="7C45ED71" w14:textId="77777777" w:rsidTr="0077513D">
        <w:trPr>
          <w:cnfStyle w:val="000000010000" w:firstRow="0" w:lastRow="0" w:firstColumn="0" w:lastColumn="0" w:oddVBand="0" w:evenVBand="0" w:oddHBand="0" w:evenHBand="1" w:firstRowFirstColumn="0" w:firstRowLastColumn="0" w:lastRowFirstColumn="0" w:lastRowLastColumn="0"/>
          <w:cantSplit/>
          <w:trHeight w:val="544"/>
        </w:trPr>
        <w:tc>
          <w:tcPr>
            <w:tcW w:w="1381" w:type="dxa"/>
            <w:tcBorders>
              <w:bottom w:val="single" w:sz="4" w:space="0" w:color="auto"/>
            </w:tcBorders>
            <w:shd w:val="clear" w:color="auto" w:fill="FFFFFF" w:themeFill="background1"/>
          </w:tcPr>
          <w:p w14:paraId="2815AC51" w14:textId="77777777" w:rsidR="002E554A" w:rsidRDefault="002E554A" w:rsidP="00F85F27">
            <w:pPr>
              <w:rPr>
                <w:sz w:val="20"/>
                <w:szCs w:val="20"/>
              </w:rPr>
            </w:pPr>
          </w:p>
        </w:tc>
        <w:tc>
          <w:tcPr>
            <w:tcW w:w="6680" w:type="dxa"/>
            <w:tcBorders>
              <w:bottom w:val="single" w:sz="4" w:space="0" w:color="auto"/>
            </w:tcBorders>
          </w:tcPr>
          <w:p w14:paraId="4EFE97DF" w14:textId="7DD9D036" w:rsidR="002E554A" w:rsidRPr="008B6868" w:rsidRDefault="002E554A" w:rsidP="00F85F27">
            <w:pPr>
              <w:rPr>
                <w:sz w:val="20"/>
                <w:szCs w:val="20"/>
              </w:rPr>
            </w:pPr>
            <w:r>
              <w:rPr>
                <w:sz w:val="20"/>
                <w:szCs w:val="20"/>
              </w:rPr>
              <w:t>Government support to industry for biosecurity</w:t>
            </w:r>
          </w:p>
        </w:tc>
        <w:tc>
          <w:tcPr>
            <w:tcW w:w="1578" w:type="dxa"/>
            <w:tcBorders>
              <w:bottom w:val="single" w:sz="4" w:space="0" w:color="auto"/>
            </w:tcBorders>
          </w:tcPr>
          <w:p w14:paraId="181517FC" w14:textId="77777777" w:rsidR="002E554A" w:rsidRPr="008B6868" w:rsidRDefault="002E554A" w:rsidP="00F85F27">
            <w:pPr>
              <w:jc w:val="center"/>
              <w:rPr>
                <w:sz w:val="20"/>
                <w:szCs w:val="20"/>
              </w:rPr>
            </w:pPr>
            <w:r>
              <w:rPr>
                <w:sz w:val="20"/>
                <w:szCs w:val="20"/>
              </w:rPr>
              <w:t>7%</w:t>
            </w:r>
          </w:p>
        </w:tc>
      </w:tr>
      <w:tr w:rsidR="002E554A" w:rsidRPr="008B6868" w14:paraId="7889340E" w14:textId="77777777" w:rsidTr="0077513D">
        <w:trPr>
          <w:cantSplit/>
          <w:trHeight w:val="544"/>
        </w:trPr>
        <w:tc>
          <w:tcPr>
            <w:tcW w:w="1381" w:type="dxa"/>
            <w:tcBorders>
              <w:top w:val="single" w:sz="4" w:space="0" w:color="auto"/>
            </w:tcBorders>
            <w:shd w:val="clear" w:color="auto" w:fill="FFFFFF" w:themeFill="background1"/>
          </w:tcPr>
          <w:p w14:paraId="73ED0C10" w14:textId="625688C8" w:rsidR="002E554A" w:rsidRDefault="002E554A" w:rsidP="00F85F27">
            <w:pPr>
              <w:rPr>
                <w:sz w:val="20"/>
                <w:szCs w:val="20"/>
              </w:rPr>
            </w:pPr>
            <w:r>
              <w:rPr>
                <w:sz w:val="20"/>
                <w:szCs w:val="20"/>
              </w:rPr>
              <w:t>Government</w:t>
            </w:r>
            <w:r w:rsidR="00FC4C9D">
              <w:rPr>
                <w:sz w:val="20"/>
                <w:szCs w:val="20"/>
              </w:rPr>
              <w:br/>
              <w:t>(n=218)</w:t>
            </w:r>
          </w:p>
        </w:tc>
        <w:tc>
          <w:tcPr>
            <w:tcW w:w="6680" w:type="dxa"/>
            <w:tcBorders>
              <w:top w:val="single" w:sz="4" w:space="0" w:color="auto"/>
            </w:tcBorders>
          </w:tcPr>
          <w:p w14:paraId="69ABAFED" w14:textId="62806D46" w:rsidR="002E554A" w:rsidRDefault="002E554A" w:rsidP="00F85F27">
            <w:pPr>
              <w:rPr>
                <w:sz w:val="20"/>
                <w:szCs w:val="20"/>
              </w:rPr>
            </w:pPr>
            <w:r>
              <w:rPr>
                <w:sz w:val="20"/>
                <w:szCs w:val="20"/>
              </w:rPr>
              <w:t>Adequate funding to undertake biosecurity activities</w:t>
            </w:r>
          </w:p>
        </w:tc>
        <w:tc>
          <w:tcPr>
            <w:tcW w:w="1578" w:type="dxa"/>
            <w:tcBorders>
              <w:top w:val="single" w:sz="4" w:space="0" w:color="auto"/>
            </w:tcBorders>
          </w:tcPr>
          <w:p w14:paraId="7A8918CC" w14:textId="77777777" w:rsidR="002E554A" w:rsidRDefault="002E554A" w:rsidP="00F85F27">
            <w:pPr>
              <w:jc w:val="center"/>
              <w:rPr>
                <w:sz w:val="20"/>
                <w:szCs w:val="20"/>
              </w:rPr>
            </w:pPr>
            <w:r>
              <w:rPr>
                <w:sz w:val="20"/>
                <w:szCs w:val="20"/>
              </w:rPr>
              <w:t>21%</w:t>
            </w:r>
          </w:p>
        </w:tc>
      </w:tr>
      <w:tr w:rsidR="002E554A" w:rsidRPr="008B6868" w14:paraId="7B9557B6" w14:textId="77777777" w:rsidTr="0077513D">
        <w:trPr>
          <w:cnfStyle w:val="000000010000" w:firstRow="0" w:lastRow="0" w:firstColumn="0" w:lastColumn="0" w:oddVBand="0" w:evenVBand="0" w:oddHBand="0" w:evenHBand="1" w:firstRowFirstColumn="0" w:firstRowLastColumn="0" w:lastRowFirstColumn="0" w:lastRowLastColumn="0"/>
          <w:cantSplit/>
          <w:trHeight w:val="544"/>
        </w:trPr>
        <w:tc>
          <w:tcPr>
            <w:tcW w:w="1381" w:type="dxa"/>
            <w:shd w:val="clear" w:color="auto" w:fill="FFFFFF" w:themeFill="background1"/>
          </w:tcPr>
          <w:p w14:paraId="34C69990" w14:textId="7C5C46FB" w:rsidR="002E554A" w:rsidRDefault="002E554A" w:rsidP="00F85F27">
            <w:pPr>
              <w:rPr>
                <w:sz w:val="20"/>
                <w:szCs w:val="20"/>
              </w:rPr>
            </w:pPr>
          </w:p>
        </w:tc>
        <w:tc>
          <w:tcPr>
            <w:tcW w:w="6680" w:type="dxa"/>
          </w:tcPr>
          <w:p w14:paraId="6781DBF9" w14:textId="67F4C8C2" w:rsidR="002E554A" w:rsidRDefault="002E554A" w:rsidP="00F85F27">
            <w:pPr>
              <w:rPr>
                <w:sz w:val="20"/>
                <w:szCs w:val="20"/>
              </w:rPr>
            </w:pPr>
            <w:r>
              <w:rPr>
                <w:sz w:val="20"/>
                <w:szCs w:val="20"/>
              </w:rPr>
              <w:t>Staff with biosecurity expertise and capacity</w:t>
            </w:r>
          </w:p>
        </w:tc>
        <w:tc>
          <w:tcPr>
            <w:tcW w:w="1578" w:type="dxa"/>
          </w:tcPr>
          <w:p w14:paraId="7BE0D697" w14:textId="77777777" w:rsidR="002E554A" w:rsidRDefault="002E554A" w:rsidP="00F85F27">
            <w:pPr>
              <w:jc w:val="center"/>
              <w:rPr>
                <w:sz w:val="20"/>
                <w:szCs w:val="20"/>
              </w:rPr>
            </w:pPr>
            <w:r>
              <w:rPr>
                <w:sz w:val="20"/>
                <w:szCs w:val="20"/>
              </w:rPr>
              <w:t>14%</w:t>
            </w:r>
          </w:p>
        </w:tc>
      </w:tr>
      <w:tr w:rsidR="002E554A" w:rsidRPr="008B6868" w14:paraId="57E63AE0" w14:textId="77777777" w:rsidTr="0077513D">
        <w:trPr>
          <w:cantSplit/>
          <w:trHeight w:val="544"/>
        </w:trPr>
        <w:tc>
          <w:tcPr>
            <w:tcW w:w="1381" w:type="dxa"/>
            <w:shd w:val="clear" w:color="auto" w:fill="FFFFFF" w:themeFill="background1"/>
          </w:tcPr>
          <w:p w14:paraId="45EEC1D1" w14:textId="77777777" w:rsidR="002E554A" w:rsidRDefault="002E554A" w:rsidP="00F85F27">
            <w:pPr>
              <w:rPr>
                <w:sz w:val="20"/>
                <w:szCs w:val="20"/>
              </w:rPr>
            </w:pPr>
          </w:p>
        </w:tc>
        <w:tc>
          <w:tcPr>
            <w:tcW w:w="6680" w:type="dxa"/>
          </w:tcPr>
          <w:p w14:paraId="25899950" w14:textId="41FDF00C" w:rsidR="002E554A" w:rsidRPr="008B6868" w:rsidRDefault="002E554A" w:rsidP="00F85F27">
            <w:pPr>
              <w:rPr>
                <w:sz w:val="20"/>
                <w:szCs w:val="20"/>
              </w:rPr>
            </w:pPr>
            <w:r>
              <w:rPr>
                <w:sz w:val="20"/>
                <w:szCs w:val="20"/>
              </w:rPr>
              <w:t>Improved industry and community awareness / understanding about biosecurity</w:t>
            </w:r>
          </w:p>
        </w:tc>
        <w:tc>
          <w:tcPr>
            <w:tcW w:w="1578" w:type="dxa"/>
          </w:tcPr>
          <w:p w14:paraId="2ACB64C9" w14:textId="77777777" w:rsidR="002E554A" w:rsidRDefault="002E554A" w:rsidP="00F85F27">
            <w:pPr>
              <w:jc w:val="center"/>
              <w:rPr>
                <w:sz w:val="20"/>
                <w:szCs w:val="20"/>
              </w:rPr>
            </w:pPr>
            <w:r>
              <w:rPr>
                <w:sz w:val="20"/>
                <w:szCs w:val="20"/>
              </w:rPr>
              <w:t>12%</w:t>
            </w:r>
          </w:p>
        </w:tc>
      </w:tr>
      <w:tr w:rsidR="002E554A" w:rsidRPr="008B6868" w14:paraId="7EFBA9BF" w14:textId="77777777" w:rsidTr="0077513D">
        <w:trPr>
          <w:cnfStyle w:val="000000010000" w:firstRow="0" w:lastRow="0" w:firstColumn="0" w:lastColumn="0" w:oddVBand="0" w:evenVBand="0" w:oddHBand="0" w:evenHBand="1" w:firstRowFirstColumn="0" w:firstRowLastColumn="0" w:lastRowFirstColumn="0" w:lastRowLastColumn="0"/>
          <w:cantSplit/>
          <w:trHeight w:val="544"/>
        </w:trPr>
        <w:tc>
          <w:tcPr>
            <w:tcW w:w="1381" w:type="dxa"/>
            <w:tcBorders>
              <w:bottom w:val="single" w:sz="4" w:space="0" w:color="auto"/>
            </w:tcBorders>
            <w:shd w:val="clear" w:color="auto" w:fill="FFFFFF" w:themeFill="background1"/>
          </w:tcPr>
          <w:p w14:paraId="36BADFA8" w14:textId="77777777" w:rsidR="002E554A" w:rsidRDefault="002E554A" w:rsidP="00F85F27">
            <w:pPr>
              <w:rPr>
                <w:sz w:val="20"/>
                <w:szCs w:val="20"/>
              </w:rPr>
            </w:pPr>
          </w:p>
        </w:tc>
        <w:tc>
          <w:tcPr>
            <w:tcW w:w="6680" w:type="dxa"/>
            <w:tcBorders>
              <w:bottom w:val="single" w:sz="4" w:space="0" w:color="auto"/>
            </w:tcBorders>
          </w:tcPr>
          <w:p w14:paraId="22860BDA" w14:textId="738E575F" w:rsidR="002E554A" w:rsidRDefault="002E554A" w:rsidP="00F85F27">
            <w:pPr>
              <w:rPr>
                <w:sz w:val="20"/>
                <w:szCs w:val="20"/>
              </w:rPr>
            </w:pPr>
            <w:r>
              <w:rPr>
                <w:sz w:val="20"/>
                <w:szCs w:val="20"/>
              </w:rPr>
              <w:t>Industry and community commitment to biosecurity</w:t>
            </w:r>
          </w:p>
        </w:tc>
        <w:tc>
          <w:tcPr>
            <w:tcW w:w="1578" w:type="dxa"/>
            <w:tcBorders>
              <w:bottom w:val="single" w:sz="4" w:space="0" w:color="auto"/>
            </w:tcBorders>
          </w:tcPr>
          <w:p w14:paraId="0B816B3D" w14:textId="77777777" w:rsidR="002E554A" w:rsidRDefault="002E554A" w:rsidP="00F85F27">
            <w:pPr>
              <w:jc w:val="center"/>
              <w:rPr>
                <w:sz w:val="20"/>
                <w:szCs w:val="20"/>
              </w:rPr>
            </w:pPr>
            <w:r>
              <w:rPr>
                <w:sz w:val="20"/>
                <w:szCs w:val="20"/>
              </w:rPr>
              <w:t>9%</w:t>
            </w:r>
          </w:p>
        </w:tc>
      </w:tr>
      <w:tr w:rsidR="002E554A" w:rsidRPr="008B6868" w14:paraId="2E316A7B" w14:textId="77777777" w:rsidTr="0077513D">
        <w:trPr>
          <w:cantSplit/>
          <w:trHeight w:val="544"/>
        </w:trPr>
        <w:tc>
          <w:tcPr>
            <w:tcW w:w="1381" w:type="dxa"/>
            <w:tcBorders>
              <w:top w:val="single" w:sz="4" w:space="0" w:color="auto"/>
            </w:tcBorders>
            <w:shd w:val="clear" w:color="auto" w:fill="FFFFFF" w:themeFill="background1"/>
          </w:tcPr>
          <w:p w14:paraId="6D7DBED6" w14:textId="54690DCB" w:rsidR="002E554A" w:rsidRDefault="002E554A" w:rsidP="00F85F27">
            <w:pPr>
              <w:rPr>
                <w:sz w:val="20"/>
                <w:szCs w:val="20"/>
              </w:rPr>
            </w:pPr>
            <w:r>
              <w:rPr>
                <w:sz w:val="20"/>
                <w:szCs w:val="20"/>
              </w:rPr>
              <w:t>Community</w:t>
            </w:r>
            <w:r w:rsidR="00FC4C9D">
              <w:rPr>
                <w:sz w:val="20"/>
                <w:szCs w:val="20"/>
              </w:rPr>
              <w:br/>
              <w:t>(n=121)</w:t>
            </w:r>
          </w:p>
        </w:tc>
        <w:tc>
          <w:tcPr>
            <w:tcW w:w="6680" w:type="dxa"/>
            <w:tcBorders>
              <w:top w:val="single" w:sz="4" w:space="0" w:color="auto"/>
            </w:tcBorders>
          </w:tcPr>
          <w:p w14:paraId="6CE001A6" w14:textId="3A230B85" w:rsidR="002E554A" w:rsidRDefault="002E554A" w:rsidP="00F85F27">
            <w:pPr>
              <w:rPr>
                <w:sz w:val="20"/>
                <w:szCs w:val="20"/>
              </w:rPr>
            </w:pPr>
            <w:r>
              <w:rPr>
                <w:sz w:val="20"/>
                <w:szCs w:val="20"/>
              </w:rPr>
              <w:t>Adequate government resources (staff and money) to undertake biosecurity activities</w:t>
            </w:r>
          </w:p>
        </w:tc>
        <w:tc>
          <w:tcPr>
            <w:tcW w:w="1578" w:type="dxa"/>
            <w:tcBorders>
              <w:top w:val="single" w:sz="4" w:space="0" w:color="auto"/>
            </w:tcBorders>
          </w:tcPr>
          <w:p w14:paraId="68AC1F15" w14:textId="77777777" w:rsidR="002E554A" w:rsidRDefault="002E554A" w:rsidP="00F85F27">
            <w:pPr>
              <w:jc w:val="center"/>
              <w:rPr>
                <w:sz w:val="20"/>
                <w:szCs w:val="20"/>
              </w:rPr>
            </w:pPr>
            <w:r>
              <w:rPr>
                <w:sz w:val="20"/>
                <w:szCs w:val="20"/>
              </w:rPr>
              <w:t>19%</w:t>
            </w:r>
          </w:p>
        </w:tc>
      </w:tr>
      <w:tr w:rsidR="002E554A" w:rsidRPr="008B6868" w14:paraId="46CB19DC" w14:textId="77777777" w:rsidTr="0077513D">
        <w:trPr>
          <w:cnfStyle w:val="000000010000" w:firstRow="0" w:lastRow="0" w:firstColumn="0" w:lastColumn="0" w:oddVBand="0" w:evenVBand="0" w:oddHBand="0" w:evenHBand="1" w:firstRowFirstColumn="0" w:firstRowLastColumn="0" w:lastRowFirstColumn="0" w:lastRowLastColumn="0"/>
          <w:cantSplit/>
          <w:trHeight w:val="544"/>
        </w:trPr>
        <w:tc>
          <w:tcPr>
            <w:tcW w:w="1381" w:type="dxa"/>
            <w:shd w:val="clear" w:color="auto" w:fill="FFFFFF" w:themeFill="background1"/>
          </w:tcPr>
          <w:p w14:paraId="37EE897E" w14:textId="59C58DA8" w:rsidR="002E554A" w:rsidRDefault="002E554A" w:rsidP="00F85F27">
            <w:pPr>
              <w:rPr>
                <w:sz w:val="20"/>
                <w:szCs w:val="20"/>
              </w:rPr>
            </w:pPr>
          </w:p>
        </w:tc>
        <w:tc>
          <w:tcPr>
            <w:tcW w:w="6680" w:type="dxa"/>
          </w:tcPr>
          <w:p w14:paraId="6EFD36B4" w14:textId="0C0F0990" w:rsidR="002E554A" w:rsidRPr="008B6868" w:rsidRDefault="002E554A" w:rsidP="00F85F27">
            <w:pPr>
              <w:rPr>
                <w:sz w:val="20"/>
                <w:szCs w:val="20"/>
              </w:rPr>
            </w:pPr>
            <w:r>
              <w:rPr>
                <w:sz w:val="20"/>
                <w:szCs w:val="20"/>
              </w:rPr>
              <w:t>Improved industry and community awareness / understanding about biosecurity</w:t>
            </w:r>
          </w:p>
        </w:tc>
        <w:tc>
          <w:tcPr>
            <w:tcW w:w="1578" w:type="dxa"/>
          </w:tcPr>
          <w:p w14:paraId="0328943A" w14:textId="77777777" w:rsidR="002E554A" w:rsidRDefault="002E554A" w:rsidP="00F85F27">
            <w:pPr>
              <w:jc w:val="center"/>
              <w:rPr>
                <w:sz w:val="20"/>
                <w:szCs w:val="20"/>
              </w:rPr>
            </w:pPr>
            <w:r>
              <w:rPr>
                <w:sz w:val="20"/>
                <w:szCs w:val="20"/>
              </w:rPr>
              <w:t>14%</w:t>
            </w:r>
          </w:p>
        </w:tc>
      </w:tr>
      <w:tr w:rsidR="002E554A" w:rsidRPr="008B6868" w14:paraId="4C4CD52E" w14:textId="77777777" w:rsidTr="0077513D">
        <w:trPr>
          <w:cantSplit/>
          <w:trHeight w:val="544"/>
        </w:trPr>
        <w:tc>
          <w:tcPr>
            <w:tcW w:w="1381" w:type="dxa"/>
            <w:shd w:val="clear" w:color="auto" w:fill="FFFFFF" w:themeFill="background1"/>
          </w:tcPr>
          <w:p w14:paraId="66AE0649" w14:textId="77777777" w:rsidR="002E554A" w:rsidRDefault="002E554A" w:rsidP="00F85F27">
            <w:pPr>
              <w:rPr>
                <w:sz w:val="20"/>
                <w:szCs w:val="20"/>
              </w:rPr>
            </w:pPr>
          </w:p>
        </w:tc>
        <w:tc>
          <w:tcPr>
            <w:tcW w:w="6680" w:type="dxa"/>
          </w:tcPr>
          <w:p w14:paraId="76D1C33A" w14:textId="551D78BE" w:rsidR="002E554A" w:rsidRDefault="002E554A" w:rsidP="00F85F27">
            <w:pPr>
              <w:rPr>
                <w:sz w:val="20"/>
                <w:szCs w:val="20"/>
              </w:rPr>
            </w:pPr>
            <w:r>
              <w:rPr>
                <w:sz w:val="20"/>
                <w:szCs w:val="20"/>
              </w:rPr>
              <w:t>Targeting of resources to priority areas / identifying priorities</w:t>
            </w:r>
          </w:p>
        </w:tc>
        <w:tc>
          <w:tcPr>
            <w:tcW w:w="1578" w:type="dxa"/>
          </w:tcPr>
          <w:p w14:paraId="683B76E3" w14:textId="77777777" w:rsidR="002E554A" w:rsidRDefault="002E554A" w:rsidP="00F85F27">
            <w:pPr>
              <w:jc w:val="center"/>
              <w:rPr>
                <w:sz w:val="20"/>
                <w:szCs w:val="20"/>
              </w:rPr>
            </w:pPr>
            <w:r>
              <w:rPr>
                <w:sz w:val="20"/>
                <w:szCs w:val="20"/>
              </w:rPr>
              <w:t>12%</w:t>
            </w:r>
          </w:p>
        </w:tc>
      </w:tr>
      <w:tr w:rsidR="002E554A" w:rsidRPr="008B6868" w14:paraId="6414BAE2" w14:textId="77777777" w:rsidTr="0077513D">
        <w:trPr>
          <w:cnfStyle w:val="000000010000" w:firstRow="0" w:lastRow="0" w:firstColumn="0" w:lastColumn="0" w:oddVBand="0" w:evenVBand="0" w:oddHBand="0" w:evenHBand="1" w:firstRowFirstColumn="0" w:firstRowLastColumn="0" w:lastRowFirstColumn="0" w:lastRowLastColumn="0"/>
          <w:cantSplit/>
          <w:trHeight w:val="544"/>
        </w:trPr>
        <w:tc>
          <w:tcPr>
            <w:tcW w:w="1381" w:type="dxa"/>
            <w:tcBorders>
              <w:bottom w:val="single" w:sz="4" w:space="0" w:color="auto"/>
            </w:tcBorders>
            <w:shd w:val="clear" w:color="auto" w:fill="FFFFFF" w:themeFill="background1"/>
          </w:tcPr>
          <w:p w14:paraId="0F558161" w14:textId="77777777" w:rsidR="002E554A" w:rsidRDefault="002E554A" w:rsidP="00F85F27">
            <w:pPr>
              <w:rPr>
                <w:sz w:val="20"/>
                <w:szCs w:val="20"/>
              </w:rPr>
            </w:pPr>
          </w:p>
        </w:tc>
        <w:tc>
          <w:tcPr>
            <w:tcW w:w="6680" w:type="dxa"/>
            <w:tcBorders>
              <w:bottom w:val="single" w:sz="4" w:space="0" w:color="auto"/>
            </w:tcBorders>
          </w:tcPr>
          <w:p w14:paraId="6C9D4FD0" w14:textId="3D3402A0" w:rsidR="002E554A" w:rsidRDefault="002E554A" w:rsidP="00F85F27">
            <w:pPr>
              <w:rPr>
                <w:sz w:val="20"/>
                <w:szCs w:val="20"/>
              </w:rPr>
            </w:pPr>
            <w:r>
              <w:rPr>
                <w:sz w:val="20"/>
                <w:szCs w:val="20"/>
              </w:rPr>
              <w:t>A collaborative approach between government, industry and community</w:t>
            </w:r>
          </w:p>
        </w:tc>
        <w:tc>
          <w:tcPr>
            <w:tcW w:w="1578" w:type="dxa"/>
            <w:tcBorders>
              <w:bottom w:val="single" w:sz="4" w:space="0" w:color="auto"/>
            </w:tcBorders>
          </w:tcPr>
          <w:p w14:paraId="6A0BDC71" w14:textId="77777777" w:rsidR="002E554A" w:rsidRDefault="002E554A" w:rsidP="00F85F27">
            <w:pPr>
              <w:jc w:val="center"/>
              <w:rPr>
                <w:sz w:val="20"/>
                <w:szCs w:val="20"/>
              </w:rPr>
            </w:pPr>
            <w:r>
              <w:rPr>
                <w:sz w:val="20"/>
                <w:szCs w:val="20"/>
              </w:rPr>
              <w:t>10%</w:t>
            </w:r>
          </w:p>
        </w:tc>
      </w:tr>
    </w:tbl>
    <w:p w14:paraId="3DF43D70" w14:textId="77777777" w:rsidR="0066303F" w:rsidRDefault="0066303F">
      <w:pPr>
        <w:spacing w:before="0" w:line="240" w:lineRule="auto"/>
        <w:jc w:val="center"/>
        <w:rPr>
          <w:rFonts w:eastAsiaTheme="majorEastAsia" w:cstheme="majorBidi"/>
          <w:b/>
          <w:bCs/>
          <w:color w:val="4F6228"/>
          <w:sz w:val="28"/>
          <w:szCs w:val="28"/>
        </w:rPr>
      </w:pPr>
      <w:r>
        <w:br w:type="page"/>
      </w:r>
    </w:p>
    <w:p w14:paraId="4E9906FC" w14:textId="2F1118E1" w:rsidR="00494904" w:rsidRDefault="0077513D" w:rsidP="006440A8">
      <w:pPr>
        <w:pStyle w:val="Heading1"/>
      </w:pPr>
      <w:bookmarkStart w:id="24" w:name="_Toc411453004"/>
      <w:r>
        <w:lastRenderedPageBreak/>
        <w:t>Conclusions</w:t>
      </w:r>
      <w:bookmarkEnd w:id="24"/>
    </w:p>
    <w:p w14:paraId="24F3DBB7" w14:textId="3ACE4FBB" w:rsidR="00E36846" w:rsidRDefault="00E36846" w:rsidP="00E36846">
      <w:r w:rsidRPr="00E36846">
        <w:t>The engagement process successfully engaged with a wide range of stakeholders across industry, government and community. The strength of the process enabled a compelling picture of stakeholder perceptions of the delivery of biosecurity activity within Western Australia, and how industry, government and communities fit within this system.</w:t>
      </w:r>
    </w:p>
    <w:p w14:paraId="40E0A99F" w14:textId="77777777" w:rsidR="00E36846" w:rsidRDefault="00E36846" w:rsidP="00E36846">
      <w:r>
        <w:t>Through the stakeholder engagement, biosecurity was confirmed as an important facet of the Western Australian economy, environment and society. Of particular note was the relatively high level of importance the stakeholders placed on environmental outcomes, alongside the economic outcomes. Given this, a more comprehensive approach to encourage biosecurity activity amongst industry, government and community – one that highlights the environmental as well as the economic benefits – should be applied.</w:t>
      </w:r>
    </w:p>
    <w:p w14:paraId="05D81A40" w14:textId="77777777" w:rsidR="00E36846" w:rsidRDefault="00E36846" w:rsidP="00E36846">
      <w:r>
        <w:t>The widespread benefits of biosecurity validate the concept of biosecurity as a responsibility to be shared by industry, government and communities. The stakeholder engagement highlighted the need for all citizens to be engaged in biosecurity in order to maximise the effectiveness of Western Australia’s biosecurity system. Furthermore, it was acknowledged that costs should be shared, particularly with industry. In short, biosecurity as a shared responsibility was the underpinning principle that emerged from the stakeholder engagement.</w:t>
      </w:r>
    </w:p>
    <w:p w14:paraId="5D9B69DF" w14:textId="4E73ADE4" w:rsidR="00E36846" w:rsidRDefault="00E36846" w:rsidP="00E36846">
      <w:r>
        <w:t>The stakeholders had similar perceptions about the broad roles and responsibilities of industry, government and communities, but were somewhat uncertain about the more specific functions. The following were identified as the key roles and responsibilities.</w:t>
      </w:r>
    </w:p>
    <w:p w14:paraId="6E4A3A90" w14:textId="77777777" w:rsidR="00E36846" w:rsidRPr="0077513D" w:rsidRDefault="00E36846" w:rsidP="00F97828">
      <w:pPr>
        <w:pStyle w:val="Heading2"/>
      </w:pPr>
      <w:r w:rsidRPr="0077513D">
        <w:t>Industry</w:t>
      </w:r>
    </w:p>
    <w:p w14:paraId="30B587CC" w14:textId="77777777" w:rsidR="00E36846" w:rsidRDefault="00E36846" w:rsidP="00E36846">
      <w:r>
        <w:t>Good biosecurity provides financial benefits to industry, such as increased productivity and access to markets. Industry contributes to biosecurity-related activities through compulsory levies (such as those through rural R&amp;D corporations), via subscriptions (such as through Plant Health Australia and Animal Health Australia) and voluntary contributions (such as through WA’s Industry Funding Schemes). Industry also undertakes activities to ensure compliance with legislation and protocols, and general surveillance, management and eradication activities.</w:t>
      </w:r>
    </w:p>
    <w:p w14:paraId="1D27846D" w14:textId="3F275CB9" w:rsidR="00E36846" w:rsidRDefault="00E36846" w:rsidP="00E36846">
      <w:r>
        <w:t>As such, industry is perceived to play a strong role in safeguarding the state’s biosecurity in a number of ways:</w:t>
      </w:r>
    </w:p>
    <w:p w14:paraId="495F3292" w14:textId="56487B83" w:rsidR="00E36846" w:rsidRDefault="00E36846" w:rsidP="00E36846">
      <w:pPr>
        <w:pStyle w:val="ListParagraph"/>
      </w:pPr>
      <w:r>
        <w:t>Being aware and understanding biosecurity (what it is, why it is important, what you can/must do)</w:t>
      </w:r>
    </w:p>
    <w:p w14:paraId="6423DC7C" w14:textId="053649F2" w:rsidR="00E36846" w:rsidRDefault="00E36846" w:rsidP="00E36846">
      <w:pPr>
        <w:pStyle w:val="ListParagraph"/>
      </w:pPr>
      <w:r>
        <w:t>Reporting and managing declared pests occurring on their land</w:t>
      </w:r>
    </w:p>
    <w:p w14:paraId="4ECE6BE5" w14:textId="36ADC7DD" w:rsidR="00E36846" w:rsidRDefault="00E36846" w:rsidP="00E36846">
      <w:pPr>
        <w:pStyle w:val="ListParagraph"/>
      </w:pPr>
      <w:r>
        <w:t>Undertaking measures, including adherence to relevant legislation, to minimise biosecurity risks resulting from business activities</w:t>
      </w:r>
    </w:p>
    <w:p w14:paraId="600E0AC7" w14:textId="4727BB8D" w:rsidR="00E36846" w:rsidRDefault="00E36846" w:rsidP="00E36846">
      <w:pPr>
        <w:pStyle w:val="BodyText1"/>
      </w:pPr>
      <w:r>
        <w:t>Facilitating industry-wide biosecurity activity to deliver industry benefits—including surveillance, eradication, control and funding that is targeted toward providing the best return on investment</w:t>
      </w:r>
    </w:p>
    <w:p w14:paraId="15C0654A" w14:textId="3CACAA4C" w:rsidR="00E36846" w:rsidRDefault="00E36846" w:rsidP="00E36846">
      <w:pPr>
        <w:pStyle w:val="ListParagraph"/>
      </w:pPr>
      <w:r>
        <w:t>Proactively engaging with government on biosecurity issues</w:t>
      </w:r>
    </w:p>
    <w:p w14:paraId="7AF38140" w14:textId="256FA2D2" w:rsidR="00E36846" w:rsidRDefault="00E36846" w:rsidP="00E36846">
      <w:pPr>
        <w:pStyle w:val="ListParagraph"/>
      </w:pPr>
      <w:r>
        <w:t>Raising awareness of biosecurity within the industry and community, insomuch as this will provide benefits to the industry.</w:t>
      </w:r>
    </w:p>
    <w:p w14:paraId="23C85659" w14:textId="77777777" w:rsidR="00E36846" w:rsidRDefault="00E36846" w:rsidP="00E36846"/>
    <w:p w14:paraId="2FFF862F" w14:textId="61525C57" w:rsidR="00E36846" w:rsidRDefault="00E36846" w:rsidP="00E36846">
      <w:pPr>
        <w:spacing w:before="0" w:line="240" w:lineRule="auto"/>
        <w:jc w:val="center"/>
        <w:rPr>
          <w:i/>
        </w:rPr>
      </w:pPr>
    </w:p>
    <w:p w14:paraId="33692978" w14:textId="77777777" w:rsidR="0077513D" w:rsidRDefault="0077513D">
      <w:pPr>
        <w:spacing w:before="0" w:line="240" w:lineRule="auto"/>
        <w:jc w:val="center"/>
        <w:rPr>
          <w:i/>
        </w:rPr>
      </w:pPr>
      <w:r>
        <w:rPr>
          <w:i/>
        </w:rPr>
        <w:br w:type="page"/>
      </w:r>
    </w:p>
    <w:p w14:paraId="78CB741D" w14:textId="00DCD878" w:rsidR="00E36846" w:rsidRPr="00B35A74" w:rsidRDefault="00E36846" w:rsidP="00F97828">
      <w:pPr>
        <w:pStyle w:val="Heading2"/>
      </w:pPr>
      <w:r>
        <w:lastRenderedPageBreak/>
        <w:t>Government</w:t>
      </w:r>
    </w:p>
    <w:p w14:paraId="303281D5" w14:textId="77777777" w:rsidR="00E36846" w:rsidRDefault="00E36846" w:rsidP="00E36846">
      <w:r>
        <w:t>It is critical for Government to ensure the effective and efficient investment of public funds. As such, Government has a broad leadership role as communicators, educators, facilitators, coordinators, assessors and protectors. To facilitate industry and community acceptance of government funding decisions, it is expected that valid methods will be used transparently. While industry accepts and supports government’s regulatory role, it expects regulatory requirements to recognise and align with industry operations to minimise ‘red tape’ and ensure practical application. Government roles and responsibilities were identified to include:</w:t>
      </w:r>
    </w:p>
    <w:p w14:paraId="1CABA79E" w14:textId="77777777" w:rsidR="00E36846" w:rsidRDefault="00E36846" w:rsidP="00E36846">
      <w:pPr>
        <w:pStyle w:val="BodyText1"/>
      </w:pPr>
      <w:r>
        <w:t>Targeting effort toward prevention and early eradication, as this provides the best return on investment of public funds</w:t>
      </w:r>
    </w:p>
    <w:p w14:paraId="004A06B5" w14:textId="77777777" w:rsidR="00E36846" w:rsidRDefault="00E36846" w:rsidP="00E36846">
      <w:pPr>
        <w:pStyle w:val="BodyText1"/>
      </w:pPr>
      <w:r>
        <w:t>Supporting industry / community in eradication and control efforts (e.g. technical expertise, coordination of responses to new biosecurity incursions)</w:t>
      </w:r>
    </w:p>
    <w:p w14:paraId="32F00AF9" w14:textId="77777777" w:rsidR="00E36846" w:rsidRDefault="00E36846" w:rsidP="00E36846">
      <w:pPr>
        <w:pStyle w:val="BodyText1"/>
      </w:pPr>
      <w:r>
        <w:t>Developing and delivering robust legislation, policies, systems and processes to support the state’s biosecurity system</w:t>
      </w:r>
    </w:p>
    <w:p w14:paraId="3DE1B54C" w14:textId="77777777" w:rsidR="00E36846" w:rsidRDefault="00E36846" w:rsidP="00E36846">
      <w:pPr>
        <w:pStyle w:val="BodyText1"/>
      </w:pPr>
      <w:r>
        <w:t>Building and maintaining widespread support for and understanding of ‘biosecurity’</w:t>
      </w:r>
    </w:p>
    <w:p w14:paraId="16F4E760" w14:textId="77777777" w:rsidR="00E36846" w:rsidRDefault="00E36846" w:rsidP="00E36846">
      <w:pPr>
        <w:pStyle w:val="BodyText1"/>
      </w:pPr>
      <w:r>
        <w:t>Targeting Government investment in biosecurity toward areas of public benefit</w:t>
      </w:r>
    </w:p>
    <w:p w14:paraId="4C5CFB48" w14:textId="77777777" w:rsidR="00E36846" w:rsidRDefault="00E36846" w:rsidP="00E36846">
      <w:pPr>
        <w:pStyle w:val="BodyText1"/>
      </w:pPr>
      <w:r>
        <w:t>Managing declared pests on land that Government is responsible for</w:t>
      </w:r>
    </w:p>
    <w:p w14:paraId="2620D5D8" w14:textId="77777777" w:rsidR="00E36846" w:rsidRDefault="00E36846" w:rsidP="00E36846">
      <w:pPr>
        <w:pStyle w:val="BodyText1"/>
      </w:pPr>
      <w:r>
        <w:t>Providing coordination and leadership in undertaking biosecurity-related emergency response, including the rapid mobilisation of resources</w:t>
      </w:r>
    </w:p>
    <w:p w14:paraId="54B88D65" w14:textId="77777777" w:rsidR="00E36846" w:rsidRDefault="00E36846" w:rsidP="00E36846">
      <w:pPr>
        <w:pStyle w:val="BodyText1"/>
      </w:pPr>
      <w:r>
        <w:t>Ensuring engagement and partnerships with industry and community, and clear, transparent process—including for all of the above.</w:t>
      </w:r>
    </w:p>
    <w:p w14:paraId="471531EF" w14:textId="77777777" w:rsidR="00E36846" w:rsidRPr="00B35A74" w:rsidRDefault="00E36846" w:rsidP="00F97828">
      <w:pPr>
        <w:pStyle w:val="Heading2"/>
      </w:pPr>
      <w:r w:rsidRPr="00B35A74">
        <w:t>Community</w:t>
      </w:r>
      <w:r>
        <w:t xml:space="preserve"> (all citizens)</w:t>
      </w:r>
    </w:p>
    <w:p w14:paraId="13297A4A" w14:textId="77777777" w:rsidR="00E36846" w:rsidRDefault="00E36846" w:rsidP="00E36846">
      <w:r>
        <w:t>Biosecurity is an important part of the Western Australian economy, environment and society requiring participation from all citizens, including the management of pests and diseases by all landholders. From the data, community’s roles are believed to include:</w:t>
      </w:r>
    </w:p>
    <w:p w14:paraId="394521E7" w14:textId="77777777" w:rsidR="00E36846" w:rsidRDefault="00E36846" w:rsidP="00E36846">
      <w:pPr>
        <w:pStyle w:val="ListParagraph"/>
        <w:numPr>
          <w:ilvl w:val="0"/>
          <w:numId w:val="37"/>
        </w:numPr>
      </w:pPr>
      <w:r>
        <w:t>Reporting biosecurity issues</w:t>
      </w:r>
    </w:p>
    <w:p w14:paraId="2C327D86" w14:textId="77777777" w:rsidR="00E36846" w:rsidRDefault="00E36846" w:rsidP="00E36846">
      <w:pPr>
        <w:pStyle w:val="ListParagraph"/>
        <w:numPr>
          <w:ilvl w:val="0"/>
          <w:numId w:val="37"/>
        </w:numPr>
      </w:pPr>
      <w:r>
        <w:t>Undertaking measures, including adherence to relevant legislation, to prevent the introduction and spread of pests, weeds and diseases</w:t>
      </w:r>
    </w:p>
    <w:p w14:paraId="28065905" w14:textId="77777777" w:rsidR="00E36846" w:rsidRDefault="00E36846" w:rsidP="00E36846">
      <w:pPr>
        <w:pStyle w:val="ListParagraph"/>
        <w:numPr>
          <w:ilvl w:val="0"/>
          <w:numId w:val="37"/>
        </w:numPr>
      </w:pPr>
      <w:r>
        <w:t>Being aware and understanding biosecurity (what it is, why it is important, what you can/must do)</w:t>
      </w:r>
      <w:proofErr w:type="gramStart"/>
      <w:r>
        <w:t>.</w:t>
      </w:r>
      <w:proofErr w:type="gramEnd"/>
    </w:p>
    <w:p w14:paraId="1691D868" w14:textId="77777777" w:rsidR="00E36846" w:rsidRPr="00452C63" w:rsidRDefault="00E36846" w:rsidP="00E36846">
      <w:r>
        <w:t>Not-for-profit, research and community organisations also play an important role through funding (such as via Recognised Biosecurity Groups), voluntary donations of time, money and expertise, the delivery of biosecurity-related research and on-ground programs, as well as fundraising, communications and awareness-raising activities.</w:t>
      </w:r>
    </w:p>
    <w:p w14:paraId="7427BB1C" w14:textId="77777777" w:rsidR="00E36846" w:rsidRDefault="00E36846" w:rsidP="00E36846">
      <w:r>
        <w:t>The key issues that emerged from the stakeholder engagement highlight the areas that can be strengthened to improve Western Australia’s biosecurity system:</w:t>
      </w:r>
    </w:p>
    <w:p w14:paraId="33421D41" w14:textId="77777777" w:rsidR="00E36846" w:rsidRDefault="00E36846" w:rsidP="00E36846">
      <w:pPr>
        <w:pStyle w:val="ListParagraph"/>
        <w:numPr>
          <w:ilvl w:val="0"/>
          <w:numId w:val="34"/>
        </w:numPr>
      </w:pPr>
      <w:r>
        <w:t>Improved collaboration, cooperation and communication with key organisations or individuals with a strong stake in the issue to ensure support, understanding and ownership. This will also deliver increased efficiencies (e.g. reduced duplication, a broader expertise/knowledge base etc.) and build stronger relationships and networks</w:t>
      </w:r>
    </w:p>
    <w:p w14:paraId="0A6918AA" w14:textId="77777777" w:rsidR="00E36846" w:rsidRDefault="00E36846" w:rsidP="00E36846">
      <w:pPr>
        <w:pStyle w:val="ListParagraph"/>
        <w:numPr>
          <w:ilvl w:val="0"/>
          <w:numId w:val="34"/>
        </w:numPr>
      </w:pPr>
      <w:r>
        <w:t xml:space="preserve">Broad engagement, education and awareness-raising to develop and maintain widespread support for the state’s biosecurity. This was identified as a top need by government, industry and community, and relates to ‘citizens’ in general, rather than </w:t>
      </w:r>
      <w:r>
        <w:lastRenderedPageBreak/>
        <w:t>targeted stakeholders. To increase citizen participation in biosecurity activities requires processes and systems to facilitate citizen engagement and cope with increased expectations</w:t>
      </w:r>
    </w:p>
    <w:p w14:paraId="7CE3E142" w14:textId="77777777" w:rsidR="00E36846" w:rsidRDefault="00E36846" w:rsidP="00E36846">
      <w:pPr>
        <w:pStyle w:val="ListParagraph"/>
        <w:numPr>
          <w:ilvl w:val="0"/>
          <w:numId w:val="34"/>
        </w:numPr>
      </w:pPr>
      <w:r>
        <w:t>Prioritise areas for investment using justifiable risk management and science-based processes to provide the greatest return on investment. This ‘greatest return on investment’ does not apply only to economic returns, but also environmental and social outcomes. Prioritisation methods should consider environmental values if decisions are to be accepted by stakeholders. With declining resources and increasing biosecurity risk, prioritising biosecurity-related investment is essential</w:t>
      </w:r>
    </w:p>
    <w:p w14:paraId="4D45A753" w14:textId="77777777" w:rsidR="00E36846" w:rsidRDefault="00E36846" w:rsidP="00E36846">
      <w:pPr>
        <w:pStyle w:val="ListParagraph"/>
        <w:numPr>
          <w:ilvl w:val="0"/>
          <w:numId w:val="34"/>
        </w:numPr>
      </w:pPr>
      <w:r>
        <w:t>Provide robust legislation to support the WA biosecurity system that takes into consideration the impost on industry; and enforce the legislation to ensure the integrity of the system is maintained</w:t>
      </w:r>
    </w:p>
    <w:p w14:paraId="0430E8DB" w14:textId="77777777" w:rsidR="00E36846" w:rsidRDefault="00E36846" w:rsidP="00E36846">
      <w:pPr>
        <w:pStyle w:val="ListParagraph"/>
        <w:numPr>
          <w:ilvl w:val="0"/>
          <w:numId w:val="34"/>
        </w:numPr>
      </w:pPr>
      <w:r>
        <w:t>Maintain an adequate level of preparedness to ensure Western Australia is always ready to tackle biosecurity threats. There are two aspects to this—1) keeping abreast of national and international issues that may impact on WA; and 2) ensuring adequate capacity, resources and processes for response and recovery to biosecurity incursions</w:t>
      </w:r>
    </w:p>
    <w:p w14:paraId="6361DAE5" w14:textId="77777777" w:rsidR="00E36846" w:rsidRDefault="00E36846" w:rsidP="00E36846">
      <w:pPr>
        <w:pStyle w:val="ListParagraph"/>
        <w:numPr>
          <w:ilvl w:val="0"/>
          <w:numId w:val="34"/>
        </w:numPr>
      </w:pPr>
      <w:r>
        <w:t>Research, innovation and continuous improvement to enable a flexible biosecurity system that can adjust to changing circumstances. This includes improving the systems and processes for surveillance and reporting capabilities, increasing efficiencies and reducing duplication.</w:t>
      </w:r>
    </w:p>
    <w:p w14:paraId="3C176C04" w14:textId="77777777" w:rsidR="00E36846" w:rsidRDefault="00E36846" w:rsidP="00E36846">
      <w:pPr>
        <w:pStyle w:val="BodyText1"/>
      </w:pPr>
      <w:r>
        <w:t>In addition to the above, adequate government resourcing for biosecurity activity was identified through the stakeholder engagement process as a top need to maintain or improve Western Australia’s biosecurity. Declining government resourcing for biosecurity has stimulated the need to target government investment toward priority areas. In turn, this has increased the focus on collaborative partnerships with industry and community in order to ensure the key components of the state’s biosecurity system are preserved.</w:t>
      </w:r>
    </w:p>
    <w:p w14:paraId="6997B3B6" w14:textId="77777777" w:rsidR="00E36846" w:rsidRDefault="00E36846" w:rsidP="00E36846">
      <w:pPr>
        <w:pStyle w:val="BodyText1"/>
      </w:pPr>
      <w:r>
        <w:t xml:space="preserve">Successful partnerships require clearly defined roles and responsibilities, and the findings presented here can provide a strong foundation for further exploration of this. Given the current environment, there is a clear need for transparent and consistent processes for determining who should invest resources where, as well as a need to clearly justify these decisions. Such decisions should be made collaboratively, and should emphasise the areas that provide the greatest return on investment (social, economic and environmental returns). </w:t>
      </w:r>
    </w:p>
    <w:p w14:paraId="7EE7AC8A" w14:textId="77777777" w:rsidR="0066303F" w:rsidRDefault="0066303F">
      <w:pPr>
        <w:spacing w:before="0" w:line="240" w:lineRule="auto"/>
        <w:jc w:val="center"/>
        <w:rPr>
          <w:rFonts w:ascii="Calibri" w:eastAsia="Times New Roman" w:hAnsi="Calibri" w:cs="Arial"/>
          <w:iCs/>
        </w:rPr>
      </w:pPr>
      <w:r>
        <w:rPr>
          <w:rFonts w:ascii="Calibri" w:eastAsia="Times New Roman" w:hAnsi="Calibri" w:cs="Arial"/>
          <w:b/>
          <w:bCs/>
          <w:iCs/>
        </w:rPr>
        <w:br w:type="page"/>
      </w:r>
    </w:p>
    <w:p w14:paraId="57F5D868" w14:textId="77777777" w:rsidR="00493E8D" w:rsidRDefault="00493E8D" w:rsidP="00493E8D">
      <w:pPr>
        <w:pStyle w:val="Heading1"/>
        <w:numPr>
          <w:ilvl w:val="0"/>
          <w:numId w:val="0"/>
        </w:numPr>
        <w:spacing w:before="2000"/>
      </w:pPr>
      <w:bookmarkStart w:id="25" w:name="_Toc411453005"/>
    </w:p>
    <w:p w14:paraId="287DBC08" w14:textId="09B4FBDD" w:rsidR="00F97828" w:rsidRDefault="00E36846" w:rsidP="00493E8D">
      <w:pPr>
        <w:pStyle w:val="Heading1"/>
        <w:numPr>
          <w:ilvl w:val="0"/>
          <w:numId w:val="0"/>
        </w:numPr>
        <w:spacing w:before="6000"/>
        <w:ind w:left="2694"/>
      </w:pPr>
      <w:r w:rsidRPr="002E3EEF">
        <w:t>Appendices</w:t>
      </w:r>
      <w:bookmarkEnd w:id="25"/>
    </w:p>
    <w:p w14:paraId="7F2F051B" w14:textId="77777777" w:rsidR="00F97828" w:rsidRDefault="00F97828">
      <w:pPr>
        <w:spacing w:before="0" w:line="240" w:lineRule="auto"/>
        <w:jc w:val="center"/>
        <w:rPr>
          <w:rFonts w:eastAsiaTheme="majorEastAsia" w:cstheme="majorBidi"/>
          <w:b/>
          <w:bCs/>
          <w:color w:val="4F6228"/>
          <w:sz w:val="28"/>
          <w:szCs w:val="28"/>
        </w:rPr>
      </w:pPr>
      <w:r>
        <w:br w:type="page"/>
      </w:r>
    </w:p>
    <w:p w14:paraId="7AA33AB2" w14:textId="77777777" w:rsidR="00E36846" w:rsidRDefault="00E36846" w:rsidP="00F97828">
      <w:pPr>
        <w:pStyle w:val="Heading2"/>
      </w:pPr>
      <w:bookmarkStart w:id="26" w:name="_Ref236989363"/>
      <w:bookmarkStart w:id="27" w:name="_Toc411453006"/>
      <w:proofErr w:type="gramStart"/>
      <w:r w:rsidRPr="00820164">
        <w:lastRenderedPageBreak/>
        <w:t xml:space="preserve">Appendix </w:t>
      </w:r>
      <w:r>
        <w:t>1</w:t>
      </w:r>
      <w:r w:rsidRPr="00820164">
        <w:t>.</w:t>
      </w:r>
      <w:proofErr w:type="gramEnd"/>
      <w:r w:rsidRPr="00820164">
        <w:t xml:space="preserve">  </w:t>
      </w:r>
      <w:bookmarkEnd w:id="26"/>
      <w:r>
        <w:t>S</w:t>
      </w:r>
      <w:r w:rsidRPr="00820164">
        <w:t>takeholder discussion guide</w:t>
      </w:r>
      <w:bookmarkEnd w:id="27"/>
    </w:p>
    <w:p w14:paraId="630FBCEB" w14:textId="77777777" w:rsidR="00E36846" w:rsidRPr="0005044D" w:rsidRDefault="00E36846" w:rsidP="00E36846">
      <w:pPr>
        <w:rPr>
          <w:i/>
        </w:rPr>
      </w:pPr>
      <w:r w:rsidRPr="0005044D">
        <w:rPr>
          <w:i/>
        </w:rPr>
        <w:t xml:space="preserve">For use with </w:t>
      </w:r>
      <w:r>
        <w:rPr>
          <w:i/>
        </w:rPr>
        <w:t>‘collaborate’</w:t>
      </w:r>
      <w:r w:rsidRPr="0005044D">
        <w:rPr>
          <w:i/>
        </w:rPr>
        <w:t xml:space="preserve"> stakeholders </w:t>
      </w:r>
      <w:r>
        <w:rPr>
          <w:i/>
        </w:rPr>
        <w:t>and ‘inform’ stakeholders (if requested)</w:t>
      </w:r>
    </w:p>
    <w:p w14:paraId="6DCF5FC1" w14:textId="77777777" w:rsidR="00E36846" w:rsidRDefault="00E36846" w:rsidP="00E36846"/>
    <w:p w14:paraId="47996DE4" w14:textId="77777777" w:rsidR="00E36846" w:rsidRDefault="00E36846" w:rsidP="00E36846">
      <w:r>
        <w:t>Note 1: This is only a guide. The questions do not have to be asked as they are written, and other questions may be asked. However, all the areas should be covered.</w:t>
      </w:r>
    </w:p>
    <w:p w14:paraId="6419AA8E" w14:textId="77777777" w:rsidR="00E36846" w:rsidRDefault="00E36846" w:rsidP="00E36846"/>
    <w:p w14:paraId="47B0E48C" w14:textId="77777777" w:rsidR="00E36846" w:rsidRDefault="00E36846" w:rsidP="00E36846">
      <w:pPr>
        <w:spacing w:after="200" w:line="276" w:lineRule="auto"/>
      </w:pPr>
      <w:r>
        <w:t xml:space="preserve">Note 2: Remember to follow up with ‘why’ </w:t>
      </w:r>
      <w:proofErr w:type="gramStart"/>
      <w:r>
        <w:t>questions to capture an understanding of what is</w:t>
      </w:r>
      <w:proofErr w:type="gramEnd"/>
      <w:r>
        <w:t xml:space="preserve"> behind statements made by the stakeholder.</w:t>
      </w:r>
    </w:p>
    <w:p w14:paraId="683CBC54" w14:textId="77777777" w:rsidR="00E36846" w:rsidRDefault="00E36846" w:rsidP="00E36846">
      <w:pPr>
        <w:pStyle w:val="ListParagraph"/>
        <w:numPr>
          <w:ilvl w:val="0"/>
          <w:numId w:val="8"/>
        </w:numPr>
      </w:pPr>
      <w:r>
        <w:t>Introduce self / background to Biosecurity Council</w:t>
      </w:r>
    </w:p>
    <w:p w14:paraId="7D11CAD0" w14:textId="77777777" w:rsidR="00E36846" w:rsidRDefault="00E36846" w:rsidP="00E36846">
      <w:pPr>
        <w:pStyle w:val="ListParagraph"/>
        <w:numPr>
          <w:ilvl w:val="1"/>
          <w:numId w:val="8"/>
        </w:numPr>
      </w:pPr>
      <w:r>
        <w:t>Specialist advisory group to Minister for Agriculture and Food</w:t>
      </w:r>
    </w:p>
    <w:p w14:paraId="2E9E87C6" w14:textId="77777777" w:rsidR="00E36846" w:rsidRDefault="00E36846" w:rsidP="00E36846">
      <w:pPr>
        <w:pStyle w:val="ListParagraph"/>
        <w:numPr>
          <w:ilvl w:val="1"/>
          <w:numId w:val="8"/>
        </w:numPr>
      </w:pPr>
      <w:r>
        <w:t>Provides both solicited and unsolicited advice on strategic state issues relating to biosecurity</w:t>
      </w:r>
    </w:p>
    <w:p w14:paraId="12CB744D" w14:textId="77777777" w:rsidR="00E36846" w:rsidRDefault="00E36846" w:rsidP="00E36846">
      <w:pPr>
        <w:pStyle w:val="ListParagraph"/>
        <w:numPr>
          <w:ilvl w:val="0"/>
          <w:numId w:val="8"/>
        </w:numPr>
      </w:pPr>
      <w:r>
        <w:t>Overview of this work that the Council is undertaking</w:t>
      </w:r>
    </w:p>
    <w:p w14:paraId="22395862" w14:textId="77777777" w:rsidR="00E36846" w:rsidRDefault="00E36846" w:rsidP="00E36846">
      <w:pPr>
        <w:pStyle w:val="ListParagraph"/>
        <w:numPr>
          <w:ilvl w:val="1"/>
          <w:numId w:val="8"/>
        </w:numPr>
      </w:pPr>
      <w:r>
        <w:t>Minister and Director General requested advice on biosecurity roles and responsibilities</w:t>
      </w:r>
    </w:p>
    <w:p w14:paraId="0D007A1A" w14:textId="77777777" w:rsidR="00E36846" w:rsidRPr="00DA671A" w:rsidRDefault="00E36846" w:rsidP="00E36846">
      <w:pPr>
        <w:pStyle w:val="ListParagraph"/>
        <w:numPr>
          <w:ilvl w:val="1"/>
          <w:numId w:val="8"/>
        </w:numPr>
      </w:pPr>
      <w:r w:rsidRPr="00DA671A">
        <w:t>Comes from the background of attempts to clarify shared responsibility within biosecurity</w:t>
      </w:r>
    </w:p>
    <w:p w14:paraId="6658EA65" w14:textId="77777777" w:rsidR="00E36846" w:rsidRPr="00DA671A" w:rsidRDefault="00E36846" w:rsidP="00E36846">
      <w:pPr>
        <w:pStyle w:val="ListParagraph"/>
        <w:numPr>
          <w:ilvl w:val="1"/>
          <w:numId w:val="8"/>
        </w:numPr>
      </w:pPr>
      <w:r w:rsidRPr="00DA671A">
        <w:t xml:space="preserve">Seeks to acknowledge that shared responsibility includes not ONLY costs, but all contributions from industry, government and community </w:t>
      </w:r>
    </w:p>
    <w:p w14:paraId="7C25124F" w14:textId="77777777" w:rsidR="00E36846" w:rsidRDefault="00E36846" w:rsidP="00E36846">
      <w:pPr>
        <w:pStyle w:val="ListParagraph"/>
        <w:numPr>
          <w:ilvl w:val="1"/>
          <w:numId w:val="8"/>
        </w:numPr>
      </w:pPr>
      <w:r>
        <w:t>Purpose is to</w:t>
      </w:r>
      <w:r w:rsidRPr="007775D4">
        <w:t xml:space="preserve"> develop an agreed and common understanding of the roles and responsibilities of government, industry and community in the delivery of an effective biosecurity system </w:t>
      </w:r>
      <w:r>
        <w:t>for Western Australia</w:t>
      </w:r>
      <w:r w:rsidRPr="00A45668">
        <w:t xml:space="preserve"> </w:t>
      </w:r>
    </w:p>
    <w:p w14:paraId="353C56F0" w14:textId="77777777" w:rsidR="00E36846" w:rsidRDefault="00E36846" w:rsidP="00E36846">
      <w:pPr>
        <w:pStyle w:val="ListParagraph"/>
        <w:numPr>
          <w:ilvl w:val="1"/>
          <w:numId w:val="8"/>
        </w:numPr>
      </w:pPr>
      <w:r w:rsidRPr="00A45668">
        <w:t>Focuses on biosecurity activities to address a) established pests and diseases; and b) prevention / eradication of pests or diseases that are not yet established in WA but are considered endemic in other parts of the country. Plant and animal pests and diseases that are exotic to Australia are covered under national arrangements, and are outsi</w:t>
      </w:r>
      <w:r>
        <w:t>de the scope of this engagement</w:t>
      </w:r>
    </w:p>
    <w:p w14:paraId="66E000F0" w14:textId="77777777" w:rsidR="00E36846" w:rsidRDefault="00E36846" w:rsidP="00E36846">
      <w:pPr>
        <w:pStyle w:val="ListParagraph"/>
        <w:numPr>
          <w:ilvl w:val="1"/>
          <w:numId w:val="8"/>
        </w:numPr>
      </w:pPr>
      <w:r>
        <w:t>We are gathering information from various government agencies, as well as industry and community organisations</w:t>
      </w:r>
    </w:p>
    <w:p w14:paraId="3A90E987" w14:textId="77777777" w:rsidR="00E36846" w:rsidRPr="00853BEA" w:rsidRDefault="00E36846" w:rsidP="00E36846">
      <w:pPr>
        <w:pStyle w:val="ListParagraph"/>
        <w:numPr>
          <w:ilvl w:val="0"/>
          <w:numId w:val="8"/>
        </w:numPr>
      </w:pPr>
      <w:r w:rsidRPr="00853BEA">
        <w:t>Anticipated outcomes and the ‘what’s in it for me?’</w:t>
      </w:r>
    </w:p>
    <w:p w14:paraId="645BC0EC" w14:textId="77777777" w:rsidR="00E36846" w:rsidRDefault="00E36846" w:rsidP="00E36846">
      <w:pPr>
        <w:pStyle w:val="ListParagraph"/>
        <w:numPr>
          <w:ilvl w:val="1"/>
          <w:numId w:val="8"/>
        </w:numPr>
      </w:pPr>
      <w:r>
        <w:t>It is important to have input from across government, industry and community, as biosecurity is a shared responsibility</w:t>
      </w:r>
    </w:p>
    <w:p w14:paraId="2F05189E" w14:textId="77777777" w:rsidR="00E36846" w:rsidRDefault="00E36846" w:rsidP="00E36846">
      <w:pPr>
        <w:pStyle w:val="ListParagraph"/>
        <w:numPr>
          <w:ilvl w:val="1"/>
          <w:numId w:val="8"/>
        </w:numPr>
      </w:pPr>
      <w:r>
        <w:t>Opportunity for stakeholders to inform government policy</w:t>
      </w:r>
    </w:p>
    <w:p w14:paraId="718E3B0A" w14:textId="77777777" w:rsidR="00E36846" w:rsidRDefault="00E36846" w:rsidP="00E36846">
      <w:pPr>
        <w:pStyle w:val="ListParagraph"/>
        <w:numPr>
          <w:ilvl w:val="1"/>
          <w:numId w:val="8"/>
        </w:numPr>
      </w:pPr>
      <w:r>
        <w:t>The Council will directly advise the Minister for Agriculture and Food, and possibly other Ministries (Fisheries, Environment and Forestry)</w:t>
      </w:r>
    </w:p>
    <w:p w14:paraId="787BE012" w14:textId="77777777" w:rsidR="00E36846" w:rsidRDefault="00E36846" w:rsidP="00E36846">
      <w:pPr>
        <w:pStyle w:val="ListParagraph"/>
        <w:numPr>
          <w:ilvl w:val="0"/>
          <w:numId w:val="8"/>
        </w:numPr>
      </w:pPr>
      <w:r>
        <w:t>Confidentiality / agreement to record discussion</w:t>
      </w:r>
    </w:p>
    <w:p w14:paraId="4350130B" w14:textId="77777777" w:rsidR="00E36846" w:rsidRDefault="00E36846" w:rsidP="00E36846">
      <w:pPr>
        <w:pStyle w:val="ListParagraph"/>
        <w:numPr>
          <w:ilvl w:val="1"/>
          <w:numId w:val="8"/>
        </w:numPr>
      </w:pPr>
      <w:r>
        <w:t>All discussion will be confidential – no names attached to comments (unless agreed)</w:t>
      </w:r>
    </w:p>
    <w:p w14:paraId="71F75440" w14:textId="77777777" w:rsidR="00E36846" w:rsidRDefault="00E36846" w:rsidP="00E36846">
      <w:pPr>
        <w:pStyle w:val="ListParagraph"/>
        <w:numPr>
          <w:ilvl w:val="1"/>
          <w:numId w:val="8"/>
        </w:numPr>
      </w:pPr>
      <w:r>
        <w:t>Record discussion so we have accurately captured your views and ideas, and we may use direct quotes to highlight key points (no names attached)</w:t>
      </w:r>
    </w:p>
    <w:p w14:paraId="3868117D" w14:textId="77777777" w:rsidR="00E36846" w:rsidRDefault="00E36846" w:rsidP="00E36846">
      <w:pPr>
        <w:spacing w:before="240" w:after="120"/>
      </w:pPr>
      <w:r>
        <w:rPr>
          <w:rFonts w:cs="Arial"/>
          <w:szCs w:val="20"/>
        </w:rPr>
        <w:t xml:space="preserve">Note 3: </w:t>
      </w:r>
      <w:r>
        <w:t>Look for opportunity for comments and discussion from stakeholder as soon as possible, to allow discussion to start. However, the following question may be used as a prompt:</w:t>
      </w:r>
    </w:p>
    <w:p w14:paraId="2A03F855" w14:textId="77777777" w:rsidR="006440A8" w:rsidRDefault="006440A8">
      <w:pPr>
        <w:spacing w:before="0" w:line="240" w:lineRule="auto"/>
        <w:jc w:val="center"/>
        <w:rPr>
          <w:b/>
        </w:rPr>
      </w:pPr>
      <w:r>
        <w:rPr>
          <w:b/>
        </w:rPr>
        <w:br w:type="page"/>
      </w:r>
    </w:p>
    <w:p w14:paraId="0B73B42B" w14:textId="77B30642" w:rsidR="00E36846" w:rsidRPr="00853BEA" w:rsidRDefault="00E36846" w:rsidP="00E36846">
      <w:pPr>
        <w:rPr>
          <w:b/>
        </w:rPr>
      </w:pPr>
      <w:r>
        <w:rPr>
          <w:b/>
        </w:rPr>
        <w:lastRenderedPageBreak/>
        <w:t>How would you describe [name of organisation/industry] involvement in biosecurity?</w:t>
      </w:r>
    </w:p>
    <w:p w14:paraId="70D37B3C" w14:textId="77777777" w:rsidR="00E36846" w:rsidRPr="00853BEA" w:rsidRDefault="00E36846" w:rsidP="00E36846">
      <w:pPr>
        <w:pStyle w:val="ListParagraph"/>
        <w:numPr>
          <w:ilvl w:val="0"/>
          <w:numId w:val="8"/>
        </w:numPr>
      </w:pPr>
      <w:r w:rsidRPr="00853BEA">
        <w:t>Identify the importance / value of biosecurity to the stakeholder, and WHY it is (or isn’t) of value/importance.</w:t>
      </w:r>
    </w:p>
    <w:p w14:paraId="7C2B8DAD" w14:textId="77777777" w:rsidR="00E36846" w:rsidRDefault="00E36846" w:rsidP="00E36846">
      <w:pPr>
        <w:pStyle w:val="ListParagraph"/>
        <w:numPr>
          <w:ilvl w:val="1"/>
          <w:numId w:val="8"/>
        </w:numPr>
      </w:pPr>
      <w:r>
        <w:t>How is biosecurity important to your industry / work / organisation?</w:t>
      </w:r>
    </w:p>
    <w:p w14:paraId="2DE720CE" w14:textId="77777777" w:rsidR="00E36846" w:rsidRDefault="00E36846" w:rsidP="00E36846">
      <w:pPr>
        <w:pStyle w:val="ListParagraph"/>
        <w:numPr>
          <w:ilvl w:val="1"/>
          <w:numId w:val="8"/>
        </w:numPr>
      </w:pPr>
      <w:r>
        <w:t xml:space="preserve">What types of biosecurity activity is undertaken by your industry / work / organisation? How critical are these activities to your industry / work / organisation? </w:t>
      </w:r>
    </w:p>
    <w:p w14:paraId="16E25B86" w14:textId="77777777" w:rsidR="00E36846" w:rsidRDefault="00E36846" w:rsidP="00E36846">
      <w:pPr>
        <w:pStyle w:val="ListParagraph"/>
        <w:numPr>
          <w:ilvl w:val="1"/>
          <w:numId w:val="8"/>
        </w:numPr>
      </w:pPr>
      <w:r>
        <w:t xml:space="preserve">What benefits </w:t>
      </w:r>
      <w:proofErr w:type="gramStart"/>
      <w:r>
        <w:t>does</w:t>
      </w:r>
      <w:proofErr w:type="gramEnd"/>
      <w:r>
        <w:t xml:space="preserve"> your industry / work / organisation receive by undertaking biosecurity activities?</w:t>
      </w:r>
    </w:p>
    <w:p w14:paraId="04DDF19C" w14:textId="77777777" w:rsidR="00E36846" w:rsidRDefault="00E36846" w:rsidP="00E36846">
      <w:pPr>
        <w:pStyle w:val="ListParagraph"/>
        <w:numPr>
          <w:ilvl w:val="0"/>
          <w:numId w:val="8"/>
        </w:numPr>
      </w:pPr>
      <w:r>
        <w:t xml:space="preserve">Identify the perceived roles </w:t>
      </w:r>
      <w:r w:rsidRPr="009E0D02">
        <w:t>of industry</w:t>
      </w:r>
      <w:r>
        <w:t xml:space="preserve"> </w:t>
      </w:r>
      <w:r w:rsidRPr="009E0D02">
        <w:t>/</w:t>
      </w:r>
      <w:r>
        <w:t xml:space="preserve"> </w:t>
      </w:r>
      <w:r w:rsidRPr="009E0D02">
        <w:t>government</w:t>
      </w:r>
      <w:r>
        <w:t xml:space="preserve"> </w:t>
      </w:r>
      <w:r w:rsidRPr="009E0D02">
        <w:t>/</w:t>
      </w:r>
      <w:r>
        <w:t xml:space="preserve"> </w:t>
      </w:r>
      <w:r w:rsidRPr="009E0D02">
        <w:t>community</w:t>
      </w:r>
      <w:r>
        <w:t>, and WHY they feel these groups have these roles.</w:t>
      </w:r>
    </w:p>
    <w:p w14:paraId="518A9D8D" w14:textId="77777777" w:rsidR="00E36846" w:rsidRDefault="00E36846" w:rsidP="00E36846">
      <w:pPr>
        <w:pStyle w:val="ListParagraph"/>
        <w:numPr>
          <w:ilvl w:val="1"/>
          <w:numId w:val="8"/>
        </w:numPr>
      </w:pPr>
      <w:r>
        <w:t>Has your industry / work / organisation been involved in any biosecurity activity with other organisations? What happened?</w:t>
      </w:r>
    </w:p>
    <w:p w14:paraId="4DCB06AF" w14:textId="77777777" w:rsidR="00E36846" w:rsidRDefault="00E36846" w:rsidP="00E36846">
      <w:pPr>
        <w:pStyle w:val="ListParagraph"/>
        <w:numPr>
          <w:ilvl w:val="2"/>
          <w:numId w:val="8"/>
        </w:numPr>
      </w:pPr>
      <w:r>
        <w:t xml:space="preserve">What worked well? What do you think was </w:t>
      </w:r>
      <w:proofErr w:type="gramStart"/>
      <w:r>
        <w:t>key</w:t>
      </w:r>
      <w:proofErr w:type="gramEnd"/>
      <w:r>
        <w:t xml:space="preserve"> to this success?</w:t>
      </w:r>
    </w:p>
    <w:p w14:paraId="00CC46F6" w14:textId="77777777" w:rsidR="00E36846" w:rsidRDefault="00E36846" w:rsidP="00E36846">
      <w:pPr>
        <w:pStyle w:val="ListParagraph"/>
        <w:numPr>
          <w:ilvl w:val="2"/>
          <w:numId w:val="8"/>
        </w:numPr>
      </w:pPr>
      <w:r>
        <w:t xml:space="preserve"> What were the issues? How would you suggest the issues be addressed/ overcome?</w:t>
      </w:r>
    </w:p>
    <w:p w14:paraId="37CB079C" w14:textId="77777777" w:rsidR="00E36846" w:rsidRDefault="00E36846" w:rsidP="00E36846">
      <w:pPr>
        <w:pStyle w:val="ListParagraph"/>
        <w:numPr>
          <w:ilvl w:val="1"/>
          <w:numId w:val="8"/>
        </w:numPr>
      </w:pPr>
      <w:r>
        <w:t xml:space="preserve">What do you see as the role of government / industry / community in terms of maintaining WAs biosecurity on a day-to-day basis? </w:t>
      </w:r>
      <w:r w:rsidRPr="00CA2CCA">
        <w:t>Why?</w:t>
      </w:r>
    </w:p>
    <w:p w14:paraId="02EFC704" w14:textId="77777777" w:rsidR="00E36846" w:rsidRDefault="00E36846" w:rsidP="00E36846">
      <w:pPr>
        <w:pStyle w:val="ListParagraph"/>
        <w:numPr>
          <w:ilvl w:val="1"/>
          <w:numId w:val="8"/>
        </w:numPr>
      </w:pPr>
      <w:r>
        <w:t xml:space="preserve">What do you see as the role of government / industry / community if a biosecurity pest or disease from the eastern states was detected in WA? </w:t>
      </w:r>
      <w:r w:rsidRPr="00CA2CCA">
        <w:t>Why?</w:t>
      </w:r>
    </w:p>
    <w:p w14:paraId="43B28D24" w14:textId="77777777" w:rsidR="00E36846" w:rsidRDefault="00E36846" w:rsidP="00E36846">
      <w:pPr>
        <w:spacing w:after="200" w:line="276" w:lineRule="auto"/>
      </w:pPr>
      <w:r>
        <w:rPr>
          <w:rFonts w:cs="Arial"/>
          <w:szCs w:val="20"/>
        </w:rPr>
        <w:t>Note</w:t>
      </w:r>
      <w:r w:rsidRPr="005168B4">
        <w:rPr>
          <w:rFonts w:cs="Arial"/>
          <w:szCs w:val="20"/>
        </w:rPr>
        <w:t xml:space="preserve"> </w:t>
      </w:r>
      <w:r>
        <w:rPr>
          <w:rFonts w:cs="Arial"/>
          <w:szCs w:val="20"/>
        </w:rPr>
        <w:t>4</w:t>
      </w:r>
      <w:r w:rsidRPr="005168B4">
        <w:rPr>
          <w:rFonts w:cs="Arial"/>
          <w:szCs w:val="20"/>
        </w:rPr>
        <w:t xml:space="preserve">: </w:t>
      </w:r>
      <w:r>
        <w:t xml:space="preserve">ensure to get information about this stakeholders OWN roles and responsibilities. Not just feedback on the roles and responsibilities of others. </w:t>
      </w:r>
    </w:p>
    <w:p w14:paraId="33DD69C2" w14:textId="77777777" w:rsidR="00E36846" w:rsidRDefault="00E36846" w:rsidP="00E36846">
      <w:pPr>
        <w:pStyle w:val="ListParagraph"/>
        <w:numPr>
          <w:ilvl w:val="0"/>
          <w:numId w:val="8"/>
        </w:numPr>
      </w:pPr>
      <w:r>
        <w:t>Identify</w:t>
      </w:r>
      <w:r w:rsidRPr="00443208">
        <w:t xml:space="preserve"> </w:t>
      </w:r>
      <w:r>
        <w:t>the ‘overall’ barriers / benefits of biosecurity to WA</w:t>
      </w:r>
    </w:p>
    <w:p w14:paraId="502F137D" w14:textId="77777777" w:rsidR="00E36846" w:rsidRDefault="00E36846" w:rsidP="00E36846">
      <w:pPr>
        <w:pStyle w:val="ListParagraph"/>
        <w:numPr>
          <w:ilvl w:val="1"/>
          <w:numId w:val="8"/>
        </w:numPr>
      </w:pPr>
      <w:r>
        <w:t xml:space="preserve">Given that biosecurity is a shared responsibility, at a State level how well do you think we are going? What are the issues? How can we improve? What is working well? What do you think is </w:t>
      </w:r>
      <w:proofErr w:type="gramStart"/>
      <w:r>
        <w:t>key</w:t>
      </w:r>
      <w:proofErr w:type="gramEnd"/>
      <w:r>
        <w:t xml:space="preserve"> to the successes?</w:t>
      </w:r>
    </w:p>
    <w:p w14:paraId="390B7E59" w14:textId="77777777" w:rsidR="00E36846" w:rsidRDefault="00E36846" w:rsidP="00E36846">
      <w:pPr>
        <w:pStyle w:val="ListParagraph"/>
        <w:numPr>
          <w:ilvl w:val="1"/>
          <w:numId w:val="8"/>
        </w:numPr>
      </w:pPr>
      <w:r>
        <w:t>What do you see as the potential issues on the horizon? How could these be addressed?</w:t>
      </w:r>
    </w:p>
    <w:p w14:paraId="08FAF14E" w14:textId="2916A2C0" w:rsidR="00E36846" w:rsidRDefault="00E36846" w:rsidP="00E36846">
      <w:pPr>
        <w:spacing w:line="240" w:lineRule="auto"/>
        <w:rPr>
          <w:rFonts w:cs="Arial"/>
          <w:szCs w:val="20"/>
        </w:rPr>
      </w:pPr>
    </w:p>
    <w:p w14:paraId="1E07F011" w14:textId="77777777" w:rsidR="00E36846" w:rsidRDefault="00E36846" w:rsidP="00E36846">
      <w:pPr>
        <w:pStyle w:val="ListParagraph"/>
        <w:numPr>
          <w:ilvl w:val="0"/>
          <w:numId w:val="8"/>
        </w:numPr>
      </w:pPr>
      <w:r>
        <w:t>Sum up and next steps</w:t>
      </w:r>
    </w:p>
    <w:p w14:paraId="31916E87" w14:textId="77777777" w:rsidR="00E36846" w:rsidRDefault="00E36846" w:rsidP="00E36846">
      <w:pPr>
        <w:pStyle w:val="ListParagraph"/>
        <w:numPr>
          <w:ilvl w:val="1"/>
          <w:numId w:val="8"/>
        </w:numPr>
      </w:pPr>
      <w:r>
        <w:t>Thank for their time</w:t>
      </w:r>
    </w:p>
    <w:p w14:paraId="334A0D48" w14:textId="77777777" w:rsidR="00E36846" w:rsidRDefault="00E36846" w:rsidP="00E36846">
      <w:pPr>
        <w:pStyle w:val="ListParagraph"/>
        <w:numPr>
          <w:ilvl w:val="1"/>
          <w:numId w:val="8"/>
        </w:numPr>
      </w:pPr>
      <w:r>
        <w:t>We will send a copy of the transcript for them to check</w:t>
      </w:r>
    </w:p>
    <w:p w14:paraId="3AEC4DA3" w14:textId="77777777" w:rsidR="00E36846" w:rsidRDefault="00E36846" w:rsidP="00E36846">
      <w:pPr>
        <w:pStyle w:val="ListParagraph"/>
        <w:numPr>
          <w:ilvl w:val="1"/>
          <w:numId w:val="8"/>
        </w:numPr>
      </w:pPr>
      <w:r>
        <w:t>We will use the information collected through this and the other discussions to build an online questionnaire. The findings from both the questionnaire and these discussions will help us to draft a report</w:t>
      </w:r>
    </w:p>
    <w:p w14:paraId="166B2ED3" w14:textId="77777777" w:rsidR="00E36846" w:rsidRDefault="00E36846" w:rsidP="00E36846">
      <w:pPr>
        <w:pStyle w:val="ListParagraph"/>
        <w:numPr>
          <w:ilvl w:val="1"/>
          <w:numId w:val="8"/>
        </w:numPr>
      </w:pPr>
      <w:r>
        <w:t>The draft report will be discussed at a workshop, to be held in March / April (they are invited to attend), where we will get agreement on roles and responsibilities to help ensure</w:t>
      </w:r>
      <w:r w:rsidRPr="007775D4">
        <w:t xml:space="preserve"> the delivery of a</w:t>
      </w:r>
      <w:r>
        <w:t>n effective biosecurity system in</w:t>
      </w:r>
      <w:r w:rsidRPr="007775D4">
        <w:t xml:space="preserve"> Western Australia</w:t>
      </w:r>
    </w:p>
    <w:p w14:paraId="28F00881" w14:textId="77777777" w:rsidR="00E36846" w:rsidRDefault="00E36846" w:rsidP="00E36846">
      <w:pPr>
        <w:pStyle w:val="ListParagraph"/>
        <w:numPr>
          <w:ilvl w:val="1"/>
          <w:numId w:val="8"/>
        </w:numPr>
      </w:pPr>
      <w:r>
        <w:t>You are welcome to contact any of the Council, if you would like to discuss this further</w:t>
      </w:r>
    </w:p>
    <w:p w14:paraId="1B830B04" w14:textId="77777777" w:rsidR="00E36846" w:rsidRDefault="00E36846" w:rsidP="00E36846">
      <w:pPr>
        <w:pStyle w:val="ListParagraph"/>
        <w:numPr>
          <w:ilvl w:val="1"/>
          <w:numId w:val="8"/>
        </w:numPr>
      </w:pPr>
      <w:r w:rsidRPr="0094455D">
        <w:t>Any questions/comments?</w:t>
      </w:r>
    </w:p>
    <w:p w14:paraId="4843A615" w14:textId="77777777" w:rsidR="00F45E3D" w:rsidRDefault="00E36846" w:rsidP="00E36846">
      <w:pPr>
        <w:spacing w:after="120"/>
        <w:ind w:left="720"/>
      </w:pPr>
      <w:r>
        <w:t xml:space="preserve">Note 5: </w:t>
      </w:r>
      <w:r w:rsidRPr="00CA2CCA">
        <w:t>If you are speaking with a group ask for a nominee from the group to be the point of contact for Council to follow-up with</w:t>
      </w:r>
      <w:r>
        <w:t>.</w:t>
      </w:r>
    </w:p>
    <w:p w14:paraId="496D4BDD" w14:textId="4A0D3E3E" w:rsidR="00F45E3D" w:rsidRDefault="00F45E3D">
      <w:pPr>
        <w:spacing w:before="0" w:line="240" w:lineRule="auto"/>
        <w:jc w:val="center"/>
      </w:pPr>
      <w:r>
        <w:br w:type="page"/>
      </w:r>
    </w:p>
    <w:p w14:paraId="7919C00D" w14:textId="77777777" w:rsidR="00F45E3D" w:rsidRDefault="00F45E3D" w:rsidP="00E36846">
      <w:pPr>
        <w:spacing w:after="120"/>
        <w:ind w:left="720"/>
        <w:sectPr w:rsidR="00F45E3D" w:rsidSect="007A0D86">
          <w:headerReference w:type="even" r:id="rId23"/>
          <w:headerReference w:type="default" r:id="rId24"/>
          <w:footerReference w:type="default" r:id="rId25"/>
          <w:headerReference w:type="first" r:id="rId26"/>
          <w:pgSz w:w="11907" w:h="16840" w:code="9"/>
          <w:pgMar w:top="1440" w:right="1440" w:bottom="993" w:left="1440" w:header="709" w:footer="74" w:gutter="0"/>
          <w:pgNumType w:start="15"/>
          <w:cols w:space="708"/>
          <w:docGrid w:linePitch="360"/>
        </w:sectPr>
      </w:pPr>
    </w:p>
    <w:p w14:paraId="4A87E38B" w14:textId="77777777" w:rsidR="00D30F5F" w:rsidRPr="00D30F5F" w:rsidRDefault="00D30F5F" w:rsidP="00F97828">
      <w:pPr>
        <w:pStyle w:val="Heading2"/>
      </w:pPr>
      <w:bookmarkStart w:id="28" w:name="App2"/>
      <w:bookmarkStart w:id="29" w:name="_Appendix_2._"/>
      <w:bookmarkEnd w:id="28"/>
      <w:bookmarkEnd w:id="29"/>
      <w:proofErr w:type="gramStart"/>
      <w:r w:rsidRPr="00D30F5F">
        <w:lastRenderedPageBreak/>
        <w:t>Appendix 2.</w:t>
      </w:r>
      <w:proofErr w:type="gramEnd"/>
      <w:r w:rsidRPr="00D30F5F">
        <w:t xml:space="preserve">  Online questionnaire</w:t>
      </w:r>
    </w:p>
    <w:p w14:paraId="43AFBBDD" w14:textId="4280933B" w:rsidR="0077513D" w:rsidRDefault="007A0D86" w:rsidP="0077513D">
      <w:pPr>
        <w:spacing w:before="240"/>
      </w:pPr>
      <w:r w:rsidRPr="00017CA6">
        <w:t xml:space="preserve">The Biosecurity Council of Western Australia is investigating the delivery of biosecurity activities across the State. In particular, we are hoping for input from across government, industry and community to help </w:t>
      </w:r>
      <w:r w:rsidR="0077513D" w:rsidRPr="00017CA6">
        <w:t xml:space="preserve">develop an agreed and common understanding of roles, responsibilities and principles that underpin an effective biosecurity system for Western Australia. </w:t>
      </w:r>
    </w:p>
    <w:p w14:paraId="47C6DC42" w14:textId="77777777" w:rsidR="0077513D" w:rsidRPr="00017CA6" w:rsidRDefault="0077513D" w:rsidP="0077513D">
      <w:pPr>
        <w:spacing w:before="240"/>
      </w:pPr>
      <w:r w:rsidRPr="00017CA6">
        <w:t xml:space="preserve">The information you provide will form the basis of the Council’s advice to the State Government. We believe the information will provide a strong foundation for the development of important biosecurity-related policy. As such, we feel that it is of the utmost importance for your views to be identified, recognised and understood. </w:t>
      </w:r>
    </w:p>
    <w:p w14:paraId="32FCBB0D" w14:textId="77777777" w:rsidR="0077513D" w:rsidRDefault="0077513D" w:rsidP="0077513D">
      <w:pPr>
        <w:spacing w:before="240"/>
      </w:pPr>
      <w:r w:rsidRPr="00017CA6">
        <w:t>In this context, ‘biosecurity’ is the actions taken to minimise the risk of pests, weeds and diseases entering, emerging, establishing or spreading in Western Australia. The focus is on a) pests, weeds and diseases that are present in WA; and b) the prevention / eradication of pests, weeds or diseases that are not yet established in WA but are found in other parts of the country. 'Disease' refers to plant and animal</w:t>
      </w:r>
      <w:r>
        <w:t xml:space="preserve"> </w:t>
      </w:r>
      <w:r w:rsidRPr="00017CA6">
        <w:t>diseases rather than human diseases, unless these are carried by animals.</w:t>
      </w:r>
    </w:p>
    <w:p w14:paraId="24A0AADB" w14:textId="77777777" w:rsidR="0077513D" w:rsidRDefault="0077513D" w:rsidP="0077513D">
      <w:pPr>
        <w:spacing w:before="240"/>
      </w:pPr>
      <w:r w:rsidRPr="00017CA6">
        <w:t xml:space="preserve">The results of this survey will be available from the Biosecurity Council’s webpages at www.agric.wa.gov.au/bam/biosecurity-council. If you would like a copy of the results emailed to you, please enter your email address on completion of the survey. </w:t>
      </w:r>
    </w:p>
    <w:p w14:paraId="42C751D3" w14:textId="77777777" w:rsidR="0077513D" w:rsidRDefault="0077513D" w:rsidP="0077513D">
      <w:pPr>
        <w:spacing w:before="240"/>
      </w:pPr>
      <w:r w:rsidRPr="00017CA6">
        <w:t xml:space="preserve">All responses will be kept confidential. </w:t>
      </w:r>
    </w:p>
    <w:p w14:paraId="180F8833" w14:textId="77777777" w:rsidR="0077513D" w:rsidRPr="00D308C8" w:rsidRDefault="0077513D" w:rsidP="0077513D">
      <w:pPr>
        <w:pStyle w:val="question"/>
      </w:pPr>
      <w:r w:rsidRPr="00D308C8">
        <w:t xml:space="preserve">1. </w:t>
      </w:r>
      <w:r w:rsidRPr="00D308C8">
        <w:tab/>
        <w:t>In terms of your interest in biosecurity, in which sector would you class yourself</w:t>
      </w:r>
    </w:p>
    <w:p w14:paraId="26E8C40D" w14:textId="77777777" w:rsidR="0077513D" w:rsidRDefault="0077513D" w:rsidP="0077513D">
      <w:pPr>
        <w:tabs>
          <w:tab w:val="left" w:pos="993"/>
        </w:tabs>
        <w:ind w:left="567"/>
      </w:pPr>
      <w:r>
        <w:sym w:font="Wingdings 2" w:char="F099"/>
      </w:r>
      <w:r>
        <w:tab/>
      </w:r>
      <w:proofErr w:type="gramStart"/>
      <w:r w:rsidRPr="00017CA6">
        <w:t>Industry (e.g. agr</w:t>
      </w:r>
      <w:r>
        <w:t>iculture, mining, fishing etc.)</w:t>
      </w:r>
      <w:proofErr w:type="gramEnd"/>
    </w:p>
    <w:p w14:paraId="4AB5F10D" w14:textId="77777777" w:rsidR="0077513D" w:rsidRDefault="0077513D" w:rsidP="0077513D">
      <w:pPr>
        <w:tabs>
          <w:tab w:val="left" w:pos="993"/>
        </w:tabs>
        <w:ind w:left="567"/>
      </w:pPr>
      <w:r>
        <w:sym w:font="Wingdings 2" w:char="F099"/>
      </w:r>
      <w:r>
        <w:tab/>
      </w:r>
      <w:r w:rsidRPr="00017CA6">
        <w:t xml:space="preserve">Government </w:t>
      </w:r>
    </w:p>
    <w:p w14:paraId="40ED60C1" w14:textId="77777777" w:rsidR="0077513D" w:rsidRDefault="0077513D" w:rsidP="0077513D">
      <w:pPr>
        <w:tabs>
          <w:tab w:val="left" w:pos="993"/>
        </w:tabs>
        <w:ind w:left="567"/>
      </w:pPr>
      <w:r>
        <w:sym w:font="Wingdings 2" w:char="F099"/>
      </w:r>
      <w:r>
        <w:tab/>
      </w:r>
      <w:r w:rsidRPr="00017CA6">
        <w:t xml:space="preserve">Community </w:t>
      </w:r>
    </w:p>
    <w:p w14:paraId="6DA5AE91" w14:textId="77777777" w:rsidR="0077513D" w:rsidRPr="00017CA6" w:rsidRDefault="0077513D" w:rsidP="0077513D">
      <w:pPr>
        <w:tabs>
          <w:tab w:val="left" w:pos="993"/>
        </w:tabs>
        <w:ind w:left="567"/>
      </w:pPr>
      <w:r>
        <w:sym w:font="Wingdings 2" w:char="F099"/>
      </w:r>
      <w:r>
        <w:tab/>
      </w:r>
      <w:r w:rsidRPr="00017CA6">
        <w:t xml:space="preserve">Research / educational institution </w:t>
      </w:r>
    </w:p>
    <w:p w14:paraId="0826E472" w14:textId="77777777" w:rsidR="0077513D" w:rsidRDefault="0077513D" w:rsidP="0077513D">
      <w:pPr>
        <w:tabs>
          <w:tab w:val="left" w:pos="993"/>
        </w:tabs>
        <w:ind w:left="567"/>
      </w:pPr>
      <w:r>
        <w:sym w:font="Wingdings 2" w:char="F099"/>
      </w:r>
      <w:r>
        <w:tab/>
      </w:r>
      <w:r w:rsidRPr="00017CA6">
        <w:t xml:space="preserve">Other (please provide details) </w:t>
      </w:r>
    </w:p>
    <w:tbl>
      <w:tblPr>
        <w:tblStyle w:val="TableGrid"/>
        <w:tblW w:w="7796"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Description w:val="Question 1 - Box to include in which other sector of interest you classify yourself"/>
      </w:tblPr>
      <w:tblGrid>
        <w:gridCol w:w="7796"/>
      </w:tblGrid>
      <w:tr w:rsidR="0077513D" w14:paraId="1777008F" w14:textId="77777777" w:rsidTr="0066303F">
        <w:trPr>
          <w:cantSplit/>
          <w:trHeight w:val="962"/>
          <w:tblHeader/>
        </w:trPr>
        <w:tc>
          <w:tcPr>
            <w:tcW w:w="7796" w:type="dxa"/>
            <w:shd w:val="clear" w:color="auto" w:fill="EEECE1" w:themeFill="background2"/>
          </w:tcPr>
          <w:p w14:paraId="57168EF4" w14:textId="77777777" w:rsidR="0077513D" w:rsidRDefault="0077513D" w:rsidP="0077513D"/>
        </w:tc>
      </w:tr>
    </w:tbl>
    <w:p w14:paraId="4B5D203A" w14:textId="77777777" w:rsidR="0077513D" w:rsidRDefault="0077513D" w:rsidP="0077513D">
      <w:pPr>
        <w:tabs>
          <w:tab w:val="left" w:pos="993"/>
        </w:tabs>
        <w:ind w:left="567"/>
      </w:pPr>
    </w:p>
    <w:p w14:paraId="4EAA2657" w14:textId="77777777" w:rsidR="0077513D" w:rsidRDefault="0077513D" w:rsidP="0077513D">
      <w:pPr>
        <w:pStyle w:val="question"/>
      </w:pPr>
      <w:r w:rsidRPr="00017CA6">
        <w:t xml:space="preserve">2. </w:t>
      </w:r>
      <w:r>
        <w:tab/>
      </w:r>
      <w:r w:rsidRPr="00017CA6">
        <w:t xml:space="preserve">Please specify your industry </w:t>
      </w:r>
    </w:p>
    <w:p w14:paraId="708DA634" w14:textId="77777777" w:rsidR="0077513D" w:rsidRDefault="0077513D" w:rsidP="0077513D">
      <w:pPr>
        <w:tabs>
          <w:tab w:val="left" w:pos="993"/>
        </w:tabs>
        <w:ind w:left="567"/>
      </w:pPr>
      <w:r>
        <w:sym w:font="Wingdings 2" w:char="F099"/>
      </w:r>
      <w:r>
        <w:tab/>
      </w:r>
      <w:r w:rsidRPr="00017CA6">
        <w:t xml:space="preserve">Agriculture </w:t>
      </w:r>
    </w:p>
    <w:p w14:paraId="052E077D" w14:textId="77777777" w:rsidR="0077513D" w:rsidRDefault="0077513D" w:rsidP="0077513D">
      <w:pPr>
        <w:tabs>
          <w:tab w:val="left" w:pos="993"/>
        </w:tabs>
        <w:ind w:left="567"/>
      </w:pPr>
      <w:r>
        <w:sym w:font="Wingdings 2" w:char="F099"/>
      </w:r>
      <w:r>
        <w:tab/>
      </w:r>
      <w:r w:rsidRPr="00017CA6">
        <w:t xml:space="preserve">Horticulture </w:t>
      </w:r>
    </w:p>
    <w:p w14:paraId="51E1FDC8" w14:textId="77777777" w:rsidR="0077513D" w:rsidRDefault="0077513D" w:rsidP="0077513D">
      <w:pPr>
        <w:tabs>
          <w:tab w:val="left" w:pos="993"/>
        </w:tabs>
        <w:ind w:left="567"/>
      </w:pPr>
      <w:r>
        <w:sym w:font="Wingdings 2" w:char="F099"/>
      </w:r>
      <w:r>
        <w:tab/>
      </w:r>
      <w:r w:rsidRPr="00017CA6">
        <w:t xml:space="preserve">Fisheries / Aquaculture </w:t>
      </w:r>
    </w:p>
    <w:p w14:paraId="65D1C469" w14:textId="77777777" w:rsidR="0077513D" w:rsidRDefault="0077513D" w:rsidP="0077513D">
      <w:pPr>
        <w:tabs>
          <w:tab w:val="left" w:pos="993"/>
        </w:tabs>
        <w:ind w:left="567"/>
      </w:pPr>
      <w:r>
        <w:sym w:font="Wingdings 2" w:char="F099"/>
      </w:r>
      <w:r>
        <w:tab/>
      </w:r>
      <w:r w:rsidRPr="00017CA6">
        <w:t xml:space="preserve">Forestry / Plantations </w:t>
      </w:r>
    </w:p>
    <w:p w14:paraId="3B68D96B" w14:textId="77777777" w:rsidR="0077513D" w:rsidRDefault="0077513D" w:rsidP="0077513D">
      <w:pPr>
        <w:tabs>
          <w:tab w:val="left" w:pos="993"/>
        </w:tabs>
        <w:ind w:left="567"/>
      </w:pPr>
      <w:r>
        <w:sym w:font="Wingdings 2" w:char="F099"/>
      </w:r>
      <w:r>
        <w:tab/>
      </w:r>
      <w:r w:rsidRPr="00017CA6">
        <w:t xml:space="preserve">Mining / Oil / Gas </w:t>
      </w:r>
    </w:p>
    <w:p w14:paraId="4069BF94" w14:textId="77777777" w:rsidR="0077513D" w:rsidRPr="00017CA6" w:rsidRDefault="0077513D" w:rsidP="0077513D">
      <w:pPr>
        <w:tabs>
          <w:tab w:val="left" w:pos="993"/>
        </w:tabs>
        <w:ind w:left="567"/>
      </w:pPr>
      <w:r>
        <w:sym w:font="Wingdings 2" w:char="F099"/>
      </w:r>
      <w:r>
        <w:tab/>
      </w:r>
      <w:r w:rsidRPr="00017CA6">
        <w:t xml:space="preserve">Ports / Shipping </w:t>
      </w:r>
    </w:p>
    <w:p w14:paraId="33E76536" w14:textId="77777777" w:rsidR="0077513D" w:rsidRDefault="0077513D" w:rsidP="0077513D">
      <w:pPr>
        <w:tabs>
          <w:tab w:val="left" w:pos="993"/>
        </w:tabs>
        <w:ind w:left="567"/>
      </w:pPr>
      <w:r>
        <w:sym w:font="Wingdings 2" w:char="F099"/>
      </w:r>
      <w:r>
        <w:tab/>
      </w:r>
      <w:r w:rsidRPr="00017CA6">
        <w:t xml:space="preserve">Other (please specify) </w:t>
      </w:r>
    </w:p>
    <w:tbl>
      <w:tblPr>
        <w:tblStyle w:val="TableGrid"/>
        <w:tblW w:w="7796"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Description w:val="Question 2 Box to indicate other industry area"/>
      </w:tblPr>
      <w:tblGrid>
        <w:gridCol w:w="7796"/>
      </w:tblGrid>
      <w:tr w:rsidR="0077513D" w14:paraId="7D12E771" w14:textId="77777777" w:rsidTr="0066303F">
        <w:trPr>
          <w:cantSplit/>
          <w:trHeight w:val="1110"/>
          <w:tblHeader/>
        </w:trPr>
        <w:tc>
          <w:tcPr>
            <w:tcW w:w="7796" w:type="dxa"/>
            <w:shd w:val="clear" w:color="auto" w:fill="EEECE1" w:themeFill="background2"/>
          </w:tcPr>
          <w:p w14:paraId="4F22974B" w14:textId="77777777" w:rsidR="0077513D" w:rsidRDefault="0077513D" w:rsidP="0077513D"/>
        </w:tc>
      </w:tr>
    </w:tbl>
    <w:p w14:paraId="30522CFF" w14:textId="77777777" w:rsidR="0066303F" w:rsidRDefault="0066303F" w:rsidP="0077513D">
      <w:pPr>
        <w:pStyle w:val="question"/>
        <w:sectPr w:rsidR="0066303F" w:rsidSect="00D30F5F">
          <w:headerReference w:type="default" r:id="rId27"/>
          <w:footerReference w:type="default" r:id="rId28"/>
          <w:type w:val="continuous"/>
          <w:pgSz w:w="11907" w:h="16840" w:code="9"/>
          <w:pgMar w:top="566" w:right="705" w:bottom="568" w:left="993" w:header="426" w:footer="74" w:gutter="0"/>
          <w:pgBorders w:offsetFrom="page">
            <w:top w:val="single" w:sz="2" w:space="15" w:color="000000" w:themeColor="text1"/>
            <w:left w:val="single" w:sz="2" w:space="15" w:color="000000" w:themeColor="text1"/>
            <w:bottom w:val="single" w:sz="2" w:space="15" w:color="000000" w:themeColor="text1"/>
            <w:right w:val="single" w:sz="2" w:space="15" w:color="000000" w:themeColor="text1"/>
          </w:pgBorders>
          <w:cols w:space="720"/>
          <w:noEndnote/>
        </w:sectPr>
      </w:pPr>
    </w:p>
    <w:p w14:paraId="78117C6C" w14:textId="5B50FACA" w:rsidR="007A0D86" w:rsidRDefault="007A0D86" w:rsidP="0077513D">
      <w:pPr>
        <w:pStyle w:val="question"/>
        <w:sectPr w:rsidR="007A0D86" w:rsidSect="00D30F5F">
          <w:headerReference w:type="default" r:id="rId29"/>
          <w:type w:val="continuous"/>
          <w:pgSz w:w="11907" w:h="16840" w:code="9"/>
          <w:pgMar w:top="566" w:right="705" w:bottom="568" w:left="993" w:header="426" w:footer="74" w:gutter="0"/>
          <w:pgBorders w:offsetFrom="page">
            <w:top w:val="single" w:sz="2" w:space="15" w:color="000000" w:themeColor="text1"/>
            <w:left w:val="single" w:sz="2" w:space="15" w:color="000000" w:themeColor="text1"/>
            <w:bottom w:val="single" w:sz="2" w:space="15" w:color="000000" w:themeColor="text1"/>
            <w:right w:val="single" w:sz="2" w:space="15" w:color="000000" w:themeColor="text1"/>
          </w:pgBorders>
          <w:cols w:space="720"/>
          <w:noEndnote/>
        </w:sectPr>
      </w:pPr>
    </w:p>
    <w:p w14:paraId="67CA21AC" w14:textId="7AECB589" w:rsidR="0077513D" w:rsidRPr="00017CA6" w:rsidRDefault="007A0D86" w:rsidP="0077513D">
      <w:pPr>
        <w:pStyle w:val="question"/>
      </w:pPr>
      <w:r>
        <w:lastRenderedPageBreak/>
        <w:t xml:space="preserve">3. </w:t>
      </w:r>
      <w:r>
        <w:tab/>
      </w:r>
      <w:r w:rsidR="0077513D" w:rsidRPr="00017CA6">
        <w:t xml:space="preserve">Please specify your area in government </w:t>
      </w:r>
    </w:p>
    <w:p w14:paraId="507AA93C" w14:textId="77777777" w:rsidR="0077513D" w:rsidRDefault="0077513D" w:rsidP="0077513D">
      <w:pPr>
        <w:tabs>
          <w:tab w:val="left" w:pos="993"/>
        </w:tabs>
        <w:ind w:left="567"/>
      </w:pPr>
      <w:r>
        <w:sym w:font="Wingdings 2" w:char="F099"/>
      </w:r>
      <w:r>
        <w:tab/>
      </w:r>
      <w:r w:rsidRPr="00017CA6">
        <w:t xml:space="preserve">Agriculture and Food </w:t>
      </w:r>
    </w:p>
    <w:p w14:paraId="0CBB5644" w14:textId="77777777" w:rsidR="0077513D" w:rsidRDefault="0077513D" w:rsidP="0077513D">
      <w:pPr>
        <w:tabs>
          <w:tab w:val="left" w:pos="993"/>
        </w:tabs>
        <w:ind w:left="567"/>
      </w:pPr>
      <w:r>
        <w:sym w:font="Wingdings 2" w:char="F099"/>
      </w:r>
      <w:r>
        <w:tab/>
      </w:r>
      <w:r w:rsidRPr="00017CA6">
        <w:t xml:space="preserve">Fisheries </w:t>
      </w:r>
    </w:p>
    <w:p w14:paraId="09E91EA9" w14:textId="77777777" w:rsidR="0077513D" w:rsidRDefault="0077513D" w:rsidP="0077513D">
      <w:pPr>
        <w:tabs>
          <w:tab w:val="left" w:pos="993"/>
        </w:tabs>
        <w:ind w:left="567"/>
      </w:pPr>
      <w:r>
        <w:sym w:font="Wingdings 2" w:char="F099"/>
      </w:r>
      <w:r>
        <w:tab/>
      </w:r>
      <w:r w:rsidRPr="00017CA6">
        <w:t xml:space="preserve">Forestry </w:t>
      </w:r>
    </w:p>
    <w:p w14:paraId="4F49F676" w14:textId="77777777" w:rsidR="0077513D" w:rsidRDefault="0077513D" w:rsidP="0077513D">
      <w:pPr>
        <w:tabs>
          <w:tab w:val="left" w:pos="993"/>
        </w:tabs>
        <w:ind w:left="567"/>
      </w:pPr>
      <w:r>
        <w:sym w:font="Wingdings 2" w:char="F099"/>
      </w:r>
      <w:r>
        <w:tab/>
      </w:r>
      <w:r w:rsidRPr="00017CA6">
        <w:t xml:space="preserve">Health </w:t>
      </w:r>
    </w:p>
    <w:p w14:paraId="6380E821" w14:textId="77777777" w:rsidR="0077513D" w:rsidRDefault="0077513D" w:rsidP="0077513D">
      <w:pPr>
        <w:tabs>
          <w:tab w:val="left" w:pos="993"/>
        </w:tabs>
        <w:ind w:left="567"/>
      </w:pPr>
      <w:r>
        <w:sym w:font="Wingdings 2" w:char="F099"/>
      </w:r>
      <w:r>
        <w:tab/>
      </w:r>
      <w:r w:rsidRPr="00017CA6">
        <w:t xml:space="preserve">Local Government </w:t>
      </w:r>
    </w:p>
    <w:p w14:paraId="63561CF7" w14:textId="77777777" w:rsidR="0077513D" w:rsidRDefault="0077513D" w:rsidP="0077513D">
      <w:pPr>
        <w:tabs>
          <w:tab w:val="left" w:pos="993"/>
        </w:tabs>
        <w:ind w:left="567"/>
      </w:pPr>
      <w:r>
        <w:sym w:font="Wingdings 2" w:char="F099"/>
      </w:r>
      <w:r>
        <w:tab/>
      </w:r>
      <w:r w:rsidRPr="00017CA6">
        <w:t xml:space="preserve">Parks and Wildlife </w:t>
      </w:r>
    </w:p>
    <w:p w14:paraId="79A22DE8" w14:textId="77777777" w:rsidR="0077513D" w:rsidRPr="00017CA6" w:rsidRDefault="0077513D" w:rsidP="0077513D">
      <w:pPr>
        <w:tabs>
          <w:tab w:val="left" w:pos="993"/>
        </w:tabs>
        <w:ind w:left="567"/>
      </w:pPr>
      <w:r>
        <w:sym w:font="Wingdings 2" w:char="F099"/>
      </w:r>
      <w:r>
        <w:tab/>
      </w:r>
      <w:r w:rsidRPr="00017CA6">
        <w:t xml:space="preserve">Premier and Cabinet </w:t>
      </w:r>
    </w:p>
    <w:p w14:paraId="5DC818FD" w14:textId="77777777" w:rsidR="0077513D" w:rsidRDefault="0077513D" w:rsidP="0077513D">
      <w:pPr>
        <w:tabs>
          <w:tab w:val="left" w:pos="993"/>
        </w:tabs>
        <w:ind w:left="567"/>
      </w:pPr>
      <w:r>
        <w:sym w:font="Wingdings 2" w:char="F099"/>
      </w:r>
      <w:r>
        <w:tab/>
      </w:r>
      <w:r w:rsidRPr="00017CA6">
        <w:t xml:space="preserve">Other (please specify) </w:t>
      </w:r>
    </w:p>
    <w:tbl>
      <w:tblPr>
        <w:tblStyle w:val="TableGrid"/>
        <w:tblW w:w="7796"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Description w:val="Question 3 - Box to specify other area in government"/>
      </w:tblPr>
      <w:tblGrid>
        <w:gridCol w:w="7796"/>
      </w:tblGrid>
      <w:tr w:rsidR="0077513D" w14:paraId="48BE4DAA" w14:textId="77777777" w:rsidTr="0077513D">
        <w:trPr>
          <w:cantSplit/>
          <w:trHeight w:val="982"/>
          <w:tblHeader/>
        </w:trPr>
        <w:tc>
          <w:tcPr>
            <w:tcW w:w="7796" w:type="dxa"/>
            <w:shd w:val="clear" w:color="auto" w:fill="EEECE1" w:themeFill="background2"/>
          </w:tcPr>
          <w:p w14:paraId="6073778D" w14:textId="77777777" w:rsidR="0077513D" w:rsidRDefault="0077513D" w:rsidP="0077513D"/>
        </w:tc>
      </w:tr>
    </w:tbl>
    <w:p w14:paraId="47B64CBF" w14:textId="77777777" w:rsidR="0077513D" w:rsidRPr="00017CA6" w:rsidRDefault="0077513D" w:rsidP="0077513D">
      <w:pPr>
        <w:tabs>
          <w:tab w:val="left" w:pos="993"/>
        </w:tabs>
        <w:ind w:left="567"/>
      </w:pPr>
    </w:p>
    <w:p w14:paraId="37AB1AFF" w14:textId="77777777" w:rsidR="0077513D" w:rsidRPr="00017CA6" w:rsidRDefault="0077513D" w:rsidP="0077513D">
      <w:pPr>
        <w:pStyle w:val="question"/>
      </w:pPr>
      <w:r w:rsidRPr="00017CA6">
        <w:t xml:space="preserve">4. </w:t>
      </w:r>
      <w:r>
        <w:tab/>
      </w:r>
      <w:r w:rsidRPr="00017CA6">
        <w:t xml:space="preserve">Please specify your role within the community: </w:t>
      </w:r>
    </w:p>
    <w:p w14:paraId="3A3779C9" w14:textId="77777777" w:rsidR="0077513D" w:rsidRDefault="0077513D" w:rsidP="0077513D">
      <w:pPr>
        <w:tabs>
          <w:tab w:val="left" w:pos="993"/>
        </w:tabs>
        <w:ind w:left="567"/>
      </w:pPr>
      <w:r>
        <w:sym w:font="Wingdings 2" w:char="F099"/>
      </w:r>
      <w:r>
        <w:tab/>
      </w:r>
      <w:r w:rsidRPr="00017CA6">
        <w:t xml:space="preserve">Individual </w:t>
      </w:r>
    </w:p>
    <w:p w14:paraId="7D47E2FE" w14:textId="77777777" w:rsidR="0077513D" w:rsidRDefault="0077513D" w:rsidP="0077513D">
      <w:pPr>
        <w:tabs>
          <w:tab w:val="left" w:pos="993"/>
        </w:tabs>
        <w:ind w:left="567"/>
      </w:pPr>
      <w:r>
        <w:sym w:font="Wingdings 2" w:char="F099"/>
      </w:r>
      <w:r>
        <w:tab/>
      </w:r>
      <w:r w:rsidRPr="00017CA6">
        <w:t xml:space="preserve">Natural Resource Management Organisation </w:t>
      </w:r>
    </w:p>
    <w:p w14:paraId="49DC1558" w14:textId="77777777" w:rsidR="0077513D" w:rsidRDefault="0077513D" w:rsidP="0077513D">
      <w:pPr>
        <w:tabs>
          <w:tab w:val="left" w:pos="993"/>
        </w:tabs>
        <w:ind w:left="567"/>
      </w:pPr>
      <w:r>
        <w:sym w:font="Wingdings 2" w:char="F099"/>
      </w:r>
      <w:r>
        <w:tab/>
      </w:r>
      <w:r w:rsidRPr="00017CA6">
        <w:t xml:space="preserve">Recognised Biosecurity Group </w:t>
      </w:r>
    </w:p>
    <w:p w14:paraId="1B2BC08A" w14:textId="77777777" w:rsidR="0077513D" w:rsidRPr="00017CA6" w:rsidRDefault="0077513D" w:rsidP="0077513D">
      <w:pPr>
        <w:tabs>
          <w:tab w:val="left" w:pos="993"/>
        </w:tabs>
        <w:ind w:left="567"/>
      </w:pPr>
      <w:r>
        <w:sym w:font="Wingdings 2" w:char="F099"/>
      </w:r>
      <w:r>
        <w:tab/>
      </w:r>
      <w:r w:rsidRPr="00017CA6">
        <w:t xml:space="preserve">Declared Species Group </w:t>
      </w:r>
    </w:p>
    <w:p w14:paraId="7886335D" w14:textId="77777777" w:rsidR="0077513D" w:rsidRDefault="0077513D" w:rsidP="0077513D">
      <w:pPr>
        <w:tabs>
          <w:tab w:val="left" w:pos="993"/>
        </w:tabs>
        <w:ind w:left="567"/>
      </w:pPr>
      <w:r>
        <w:sym w:font="Wingdings 2" w:char="F099"/>
      </w:r>
      <w:r>
        <w:tab/>
      </w:r>
      <w:r w:rsidRPr="00017CA6">
        <w:t xml:space="preserve">Other (please specify) </w:t>
      </w:r>
    </w:p>
    <w:tbl>
      <w:tblPr>
        <w:tblStyle w:val="TableGrid"/>
        <w:tblW w:w="7796" w:type="dxa"/>
        <w:tblInd w:w="1101" w:type="dxa"/>
        <w:tblLook w:val="04A0" w:firstRow="1" w:lastRow="0" w:firstColumn="1" w:lastColumn="0" w:noHBand="0" w:noVBand="1"/>
        <w:tblDescription w:val="Question 4 - Box to specify other role in biosecurity"/>
      </w:tblPr>
      <w:tblGrid>
        <w:gridCol w:w="7796"/>
      </w:tblGrid>
      <w:tr w:rsidR="0077513D" w14:paraId="34892485" w14:textId="77777777" w:rsidTr="0077513D">
        <w:trPr>
          <w:cantSplit/>
          <w:trHeight w:val="982"/>
          <w:tblHeader/>
        </w:trPr>
        <w:tc>
          <w:tcPr>
            <w:tcW w:w="7796" w:type="dxa"/>
            <w:tcBorders>
              <w:top w:val="nil"/>
              <w:left w:val="nil"/>
              <w:bottom w:val="nil"/>
              <w:right w:val="nil"/>
            </w:tcBorders>
            <w:shd w:val="clear" w:color="auto" w:fill="EEECE1" w:themeFill="background2"/>
          </w:tcPr>
          <w:p w14:paraId="4F6D70B1" w14:textId="77777777" w:rsidR="0077513D" w:rsidRDefault="0077513D" w:rsidP="0077513D"/>
        </w:tc>
      </w:tr>
    </w:tbl>
    <w:p w14:paraId="0C4AE394" w14:textId="77777777" w:rsidR="0077513D" w:rsidRDefault="0077513D" w:rsidP="0077513D">
      <w:pPr>
        <w:tabs>
          <w:tab w:val="left" w:pos="993"/>
        </w:tabs>
        <w:ind w:left="567"/>
      </w:pPr>
    </w:p>
    <w:p w14:paraId="30094F67" w14:textId="77777777" w:rsidR="0077513D" w:rsidRDefault="0077513D" w:rsidP="0077513D">
      <w:pPr>
        <w:pStyle w:val="question"/>
      </w:pPr>
      <w:r w:rsidRPr="00017CA6">
        <w:t xml:space="preserve">5. </w:t>
      </w:r>
      <w:r>
        <w:tab/>
      </w:r>
      <w:r w:rsidRPr="00017CA6">
        <w:t xml:space="preserve">The following areas have been identified as reasons as to why biosecurity is essential. From your perspective, which are the two most important reasons for effective biosecurity? (Choose two) Access to markets </w:t>
      </w:r>
    </w:p>
    <w:p w14:paraId="7037E374" w14:textId="77777777" w:rsidR="0077513D" w:rsidRDefault="0077513D" w:rsidP="0077513D">
      <w:pPr>
        <w:tabs>
          <w:tab w:val="left" w:pos="993"/>
        </w:tabs>
        <w:ind w:left="567"/>
      </w:pPr>
      <w:r>
        <w:sym w:font="Wingdings 2" w:char="F0A3"/>
      </w:r>
      <w:r>
        <w:tab/>
      </w:r>
      <w:r w:rsidRPr="00017CA6">
        <w:t xml:space="preserve">Continued industry viability </w:t>
      </w:r>
    </w:p>
    <w:p w14:paraId="2B1DCC75" w14:textId="77777777" w:rsidR="0077513D" w:rsidRDefault="0077513D" w:rsidP="0077513D">
      <w:pPr>
        <w:tabs>
          <w:tab w:val="left" w:pos="993"/>
        </w:tabs>
        <w:ind w:left="567"/>
      </w:pPr>
      <w:r>
        <w:sym w:font="Wingdings 2" w:char="F0A3"/>
      </w:r>
      <w:r>
        <w:tab/>
      </w:r>
      <w:r w:rsidRPr="00017CA6">
        <w:t xml:space="preserve">Food safety </w:t>
      </w:r>
    </w:p>
    <w:p w14:paraId="31396CF6" w14:textId="77777777" w:rsidR="0077513D" w:rsidRDefault="0077513D" w:rsidP="0077513D">
      <w:pPr>
        <w:tabs>
          <w:tab w:val="left" w:pos="993"/>
        </w:tabs>
        <w:ind w:left="567"/>
      </w:pPr>
      <w:r>
        <w:sym w:font="Wingdings 2" w:char="F0A3"/>
      </w:r>
      <w:r>
        <w:tab/>
      </w:r>
      <w:r w:rsidRPr="00017CA6">
        <w:t xml:space="preserve">Healthy ecosystems </w:t>
      </w:r>
    </w:p>
    <w:p w14:paraId="0315E5A6" w14:textId="77777777" w:rsidR="0077513D" w:rsidRDefault="0077513D" w:rsidP="0077513D">
      <w:pPr>
        <w:tabs>
          <w:tab w:val="left" w:pos="993"/>
        </w:tabs>
        <w:ind w:left="567"/>
      </w:pPr>
      <w:r>
        <w:sym w:font="Wingdings 2" w:char="F0A3"/>
      </w:r>
      <w:r>
        <w:tab/>
      </w:r>
      <w:r w:rsidRPr="00017CA6">
        <w:t xml:space="preserve">Maintaining our ‘clean and green’ image </w:t>
      </w:r>
    </w:p>
    <w:p w14:paraId="7A17C155" w14:textId="77777777" w:rsidR="0077513D" w:rsidRDefault="0077513D" w:rsidP="0077513D">
      <w:pPr>
        <w:tabs>
          <w:tab w:val="left" w:pos="993"/>
        </w:tabs>
        <w:ind w:left="567"/>
      </w:pPr>
      <w:r>
        <w:sym w:font="Wingdings 2" w:char="F0A3"/>
      </w:r>
      <w:r>
        <w:tab/>
      </w:r>
      <w:r w:rsidRPr="00017CA6">
        <w:t xml:space="preserve">Preservation of our biodiversity </w:t>
      </w:r>
    </w:p>
    <w:p w14:paraId="7C60C447" w14:textId="77777777" w:rsidR="0077513D" w:rsidRDefault="0077513D" w:rsidP="0077513D">
      <w:pPr>
        <w:tabs>
          <w:tab w:val="left" w:pos="993"/>
        </w:tabs>
        <w:ind w:left="567"/>
      </w:pPr>
      <w:r>
        <w:sym w:font="Wingdings 2" w:char="F0A3"/>
      </w:r>
      <w:r>
        <w:tab/>
      </w:r>
      <w:r w:rsidRPr="00017CA6">
        <w:t xml:space="preserve">Public health </w:t>
      </w:r>
    </w:p>
    <w:p w14:paraId="2756C604" w14:textId="77777777" w:rsidR="0077513D" w:rsidRPr="00017CA6" w:rsidRDefault="0077513D" w:rsidP="0077513D">
      <w:pPr>
        <w:tabs>
          <w:tab w:val="left" w:pos="993"/>
        </w:tabs>
        <w:ind w:left="567"/>
      </w:pPr>
      <w:r>
        <w:sym w:font="Wingdings 2" w:char="F0A3"/>
      </w:r>
      <w:r>
        <w:tab/>
      </w:r>
      <w:r w:rsidRPr="00017CA6">
        <w:t xml:space="preserve">Social amenity </w:t>
      </w:r>
    </w:p>
    <w:p w14:paraId="46F7426C" w14:textId="77777777" w:rsidR="0077513D" w:rsidRDefault="0077513D" w:rsidP="0077513D">
      <w:pPr>
        <w:tabs>
          <w:tab w:val="left" w:pos="993"/>
        </w:tabs>
        <w:ind w:left="567"/>
      </w:pPr>
      <w:r>
        <w:sym w:font="Wingdings 2" w:char="F0A3"/>
      </w:r>
      <w:r>
        <w:tab/>
      </w:r>
      <w:r w:rsidRPr="00017CA6">
        <w:t xml:space="preserve">Other (please specify) </w:t>
      </w:r>
    </w:p>
    <w:p w14:paraId="16BC0134" w14:textId="77777777" w:rsidR="0077513D" w:rsidRDefault="0077513D" w:rsidP="0077513D">
      <w:pPr>
        <w:tabs>
          <w:tab w:val="left" w:pos="993"/>
        </w:tabs>
        <w:ind w:left="567"/>
      </w:pPr>
    </w:p>
    <w:tbl>
      <w:tblPr>
        <w:tblStyle w:val="TableGrid"/>
        <w:tblW w:w="7796" w:type="dxa"/>
        <w:tblInd w:w="1101" w:type="dxa"/>
        <w:tblLook w:val="04A0" w:firstRow="1" w:lastRow="0" w:firstColumn="1" w:lastColumn="0" w:noHBand="0" w:noVBand="1"/>
        <w:tblDescription w:val="Question 5 - Box to include other reasons to why biosecurity is important"/>
      </w:tblPr>
      <w:tblGrid>
        <w:gridCol w:w="7796"/>
      </w:tblGrid>
      <w:tr w:rsidR="0077513D" w14:paraId="6304A686" w14:textId="77777777" w:rsidTr="0077513D">
        <w:trPr>
          <w:cantSplit/>
          <w:trHeight w:val="982"/>
          <w:tblHeader/>
        </w:trPr>
        <w:tc>
          <w:tcPr>
            <w:tcW w:w="7796" w:type="dxa"/>
            <w:tcBorders>
              <w:top w:val="nil"/>
              <w:left w:val="nil"/>
              <w:bottom w:val="nil"/>
              <w:right w:val="nil"/>
            </w:tcBorders>
            <w:shd w:val="clear" w:color="auto" w:fill="EEECE1" w:themeFill="background2"/>
          </w:tcPr>
          <w:p w14:paraId="4586E4CF" w14:textId="77777777" w:rsidR="0077513D" w:rsidRDefault="0077513D" w:rsidP="0077513D"/>
        </w:tc>
      </w:tr>
    </w:tbl>
    <w:p w14:paraId="539A38EF" w14:textId="77777777" w:rsidR="0077513D" w:rsidRDefault="0077513D" w:rsidP="0077513D">
      <w:pPr>
        <w:pStyle w:val="question"/>
      </w:pPr>
      <w:r w:rsidRPr="00017CA6">
        <w:lastRenderedPageBreak/>
        <w:t xml:space="preserve">6. </w:t>
      </w:r>
      <w:r>
        <w:tab/>
      </w:r>
      <w:r w:rsidRPr="00017CA6">
        <w:t xml:space="preserve">Comments </w:t>
      </w:r>
    </w:p>
    <w:tbl>
      <w:tblPr>
        <w:tblStyle w:val="TableGrid"/>
        <w:tblW w:w="0" w:type="auto"/>
        <w:tblInd w:w="-34" w:type="dxa"/>
        <w:tblLook w:val="04A0" w:firstRow="1" w:lastRow="0" w:firstColumn="1" w:lastColumn="0" w:noHBand="0" w:noVBand="1"/>
        <w:tblDescription w:val="Question 6 - Box to include comments"/>
      </w:tblPr>
      <w:tblGrid>
        <w:gridCol w:w="10456"/>
      </w:tblGrid>
      <w:tr w:rsidR="0077513D" w:rsidRPr="00114ABB" w14:paraId="7C4767E2" w14:textId="77777777" w:rsidTr="0077513D">
        <w:trPr>
          <w:cantSplit/>
          <w:trHeight w:val="1571"/>
          <w:tblHeader/>
        </w:trPr>
        <w:tc>
          <w:tcPr>
            <w:tcW w:w="10456" w:type="dxa"/>
            <w:tcBorders>
              <w:top w:val="nil"/>
              <w:left w:val="nil"/>
              <w:bottom w:val="nil"/>
              <w:right w:val="nil"/>
            </w:tcBorders>
            <w:shd w:val="clear" w:color="auto" w:fill="EEECE1" w:themeFill="background2"/>
          </w:tcPr>
          <w:p w14:paraId="5E87013D" w14:textId="77777777" w:rsidR="0077513D" w:rsidRPr="00114ABB" w:rsidRDefault="0077513D" w:rsidP="0077513D">
            <w:pPr>
              <w:pStyle w:val="question"/>
            </w:pPr>
          </w:p>
        </w:tc>
      </w:tr>
    </w:tbl>
    <w:p w14:paraId="5A694A6D" w14:textId="77777777" w:rsidR="0077513D" w:rsidRPr="00017CA6" w:rsidRDefault="0077513D" w:rsidP="0077513D">
      <w:pPr>
        <w:pStyle w:val="question"/>
      </w:pPr>
    </w:p>
    <w:p w14:paraId="14592539" w14:textId="77777777" w:rsidR="0077513D" w:rsidRDefault="0077513D" w:rsidP="0077513D">
      <w:pPr>
        <w:pStyle w:val="question"/>
      </w:pPr>
      <w:r w:rsidRPr="00017CA6">
        <w:t xml:space="preserve">7. </w:t>
      </w:r>
      <w:r>
        <w:tab/>
      </w:r>
      <w:r w:rsidRPr="00017CA6">
        <w:t xml:space="preserve">On a scale of 1-7, with 1 being strongly disagree and 7 being strongly agree, how </w:t>
      </w:r>
      <w:r w:rsidRPr="000769EC">
        <w:t>do you feel about the following statements.</w:t>
      </w:r>
    </w:p>
    <w:tbl>
      <w:tblPr>
        <w:tblStyle w:val="Style1"/>
        <w:tblW w:w="10546" w:type="dxa"/>
        <w:tblLayout w:type="fixed"/>
        <w:tblLook w:val="04A0" w:firstRow="1" w:lastRow="0" w:firstColumn="1" w:lastColumn="0" w:noHBand="0" w:noVBand="1"/>
        <w:tblDescription w:val="Question 7 - Section to Indicate your degree of agreement of disagreement with the ffoloowing statements"/>
      </w:tblPr>
      <w:tblGrid>
        <w:gridCol w:w="4828"/>
        <w:gridCol w:w="1120"/>
        <w:gridCol w:w="588"/>
        <w:gridCol w:w="590"/>
        <w:gridCol w:w="1120"/>
        <w:gridCol w:w="590"/>
        <w:gridCol w:w="590"/>
        <w:gridCol w:w="1120"/>
      </w:tblGrid>
      <w:tr w:rsidR="0077513D" w:rsidRPr="003C1B44" w14:paraId="3E7135DF" w14:textId="77777777" w:rsidTr="0077513D">
        <w:trPr>
          <w:cnfStyle w:val="100000000000" w:firstRow="1" w:lastRow="0" w:firstColumn="0" w:lastColumn="0" w:oddVBand="0" w:evenVBand="0" w:oddHBand="0" w:evenHBand="0" w:firstRowFirstColumn="0" w:firstRowLastColumn="0" w:lastRowFirstColumn="0" w:lastRowLastColumn="0"/>
        </w:trPr>
        <w:tc>
          <w:tcPr>
            <w:tcW w:w="4644" w:type="dxa"/>
          </w:tcPr>
          <w:p w14:paraId="3AF5A538" w14:textId="77777777" w:rsidR="0077513D" w:rsidRPr="000D5BEF" w:rsidRDefault="0077513D" w:rsidP="0077513D">
            <w:pPr>
              <w:spacing w:beforeLines="20" w:before="48" w:line="240" w:lineRule="auto"/>
              <w:jc w:val="center"/>
            </w:pPr>
          </w:p>
        </w:tc>
        <w:tc>
          <w:tcPr>
            <w:tcW w:w="1077" w:type="dxa"/>
          </w:tcPr>
          <w:p w14:paraId="7CD020F1" w14:textId="77777777" w:rsidR="0077513D" w:rsidRPr="0014238B" w:rsidRDefault="0077513D" w:rsidP="0077513D">
            <w:pPr>
              <w:spacing w:beforeLines="20" w:before="48" w:line="240" w:lineRule="auto"/>
              <w:jc w:val="center"/>
              <w:rPr>
                <w:rFonts w:cs="Arial"/>
                <w:color w:val="231F20"/>
              </w:rPr>
            </w:pPr>
            <w:r w:rsidRPr="000D5BEF">
              <w:rPr>
                <w:rFonts w:cs="Arial"/>
                <w:color w:val="231F20"/>
              </w:rPr>
              <w:t>1 strongly</w:t>
            </w:r>
            <w:r>
              <w:rPr>
                <w:rFonts w:cs="Arial"/>
                <w:color w:val="231F20"/>
              </w:rPr>
              <w:t xml:space="preserve"> </w:t>
            </w:r>
            <w:r w:rsidRPr="000D5BEF">
              <w:t>disagree</w:t>
            </w:r>
          </w:p>
        </w:tc>
        <w:tc>
          <w:tcPr>
            <w:tcW w:w="565" w:type="dxa"/>
          </w:tcPr>
          <w:p w14:paraId="578CC851" w14:textId="77777777" w:rsidR="0077513D" w:rsidRPr="000D5BEF" w:rsidRDefault="0077513D" w:rsidP="0077513D">
            <w:pPr>
              <w:spacing w:beforeLines="20" w:before="48" w:line="240" w:lineRule="auto"/>
              <w:jc w:val="center"/>
            </w:pPr>
            <w:r w:rsidRPr="000D5BEF">
              <w:t>2</w:t>
            </w:r>
          </w:p>
        </w:tc>
        <w:tc>
          <w:tcPr>
            <w:tcW w:w="567" w:type="dxa"/>
          </w:tcPr>
          <w:p w14:paraId="4EEDB48D" w14:textId="77777777" w:rsidR="0077513D" w:rsidRPr="000D5BEF" w:rsidRDefault="0077513D" w:rsidP="0077513D">
            <w:pPr>
              <w:spacing w:beforeLines="20" w:before="48" w:line="240" w:lineRule="auto"/>
              <w:jc w:val="center"/>
            </w:pPr>
            <w:r w:rsidRPr="000D5BEF">
              <w:t>3</w:t>
            </w:r>
          </w:p>
        </w:tc>
        <w:tc>
          <w:tcPr>
            <w:tcW w:w="1077" w:type="dxa"/>
          </w:tcPr>
          <w:p w14:paraId="103458FF" w14:textId="77777777" w:rsidR="0077513D" w:rsidRPr="000D5BEF" w:rsidRDefault="0077513D" w:rsidP="0077513D">
            <w:pPr>
              <w:spacing w:beforeLines="20" w:before="48" w:line="240" w:lineRule="auto"/>
              <w:jc w:val="center"/>
            </w:pPr>
            <w:r w:rsidRPr="000D5BEF">
              <w:rPr>
                <w:rFonts w:cs="Arial"/>
                <w:color w:val="231F20"/>
              </w:rPr>
              <w:t>4</w:t>
            </w:r>
            <w:r w:rsidRPr="000D5BEF">
              <w:rPr>
                <w:rFonts w:cs="Arial"/>
                <w:color w:val="231F20"/>
              </w:rPr>
              <w:br/>
              <w:t>neither</w:t>
            </w:r>
            <w:r>
              <w:rPr>
                <w:rFonts w:cs="Arial"/>
                <w:color w:val="231F20"/>
              </w:rPr>
              <w:t xml:space="preserve"> </w:t>
            </w:r>
            <w:r w:rsidRPr="000D5BEF">
              <w:rPr>
                <w:rFonts w:cs="Arial"/>
                <w:color w:val="231F20"/>
              </w:rPr>
              <w:t>agree or</w:t>
            </w:r>
            <w:r>
              <w:rPr>
                <w:rFonts w:cs="Arial"/>
                <w:color w:val="231F20"/>
              </w:rPr>
              <w:t xml:space="preserve"> </w:t>
            </w:r>
            <w:r w:rsidRPr="000D5BEF">
              <w:t>disagree</w:t>
            </w:r>
          </w:p>
        </w:tc>
        <w:tc>
          <w:tcPr>
            <w:tcW w:w="567" w:type="dxa"/>
          </w:tcPr>
          <w:p w14:paraId="4346E4F6" w14:textId="77777777" w:rsidR="0077513D" w:rsidRPr="000D5BEF" w:rsidRDefault="0077513D" w:rsidP="0077513D">
            <w:pPr>
              <w:spacing w:beforeLines="20" w:before="48" w:line="240" w:lineRule="auto"/>
              <w:jc w:val="center"/>
            </w:pPr>
            <w:r w:rsidRPr="000D5BEF">
              <w:t>5</w:t>
            </w:r>
          </w:p>
        </w:tc>
        <w:tc>
          <w:tcPr>
            <w:tcW w:w="567" w:type="dxa"/>
          </w:tcPr>
          <w:p w14:paraId="11CA7F4C" w14:textId="77777777" w:rsidR="0077513D" w:rsidRPr="000D5BEF" w:rsidRDefault="0077513D" w:rsidP="0077513D">
            <w:pPr>
              <w:spacing w:beforeLines="20" w:before="48" w:line="240" w:lineRule="auto"/>
              <w:jc w:val="center"/>
            </w:pPr>
            <w:r w:rsidRPr="000D5BEF">
              <w:t>6</w:t>
            </w:r>
          </w:p>
        </w:tc>
        <w:tc>
          <w:tcPr>
            <w:tcW w:w="1077" w:type="dxa"/>
          </w:tcPr>
          <w:p w14:paraId="2082367E" w14:textId="77777777" w:rsidR="0077513D" w:rsidRPr="000D5BEF" w:rsidRDefault="0077513D" w:rsidP="0077513D">
            <w:pPr>
              <w:spacing w:beforeLines="20" w:before="48" w:line="240" w:lineRule="auto"/>
              <w:jc w:val="center"/>
            </w:pPr>
            <w:r w:rsidRPr="000D5BEF">
              <w:rPr>
                <w:rFonts w:cs="Arial"/>
                <w:color w:val="231F20"/>
              </w:rPr>
              <w:t>7</w:t>
            </w:r>
            <w:r w:rsidRPr="000D5BEF">
              <w:rPr>
                <w:rFonts w:cs="Arial"/>
                <w:color w:val="231F20"/>
              </w:rPr>
              <w:br/>
              <w:t>strongly</w:t>
            </w:r>
            <w:r>
              <w:rPr>
                <w:rFonts w:cs="Arial"/>
                <w:color w:val="231F20"/>
              </w:rPr>
              <w:t xml:space="preserve"> </w:t>
            </w:r>
            <w:r w:rsidRPr="000D5BEF">
              <w:t>agree</w:t>
            </w:r>
          </w:p>
        </w:tc>
      </w:tr>
      <w:tr w:rsidR="0077513D" w:rsidRPr="000D5BEF" w14:paraId="75059278" w14:textId="77777777" w:rsidTr="0077513D">
        <w:trPr>
          <w:cnfStyle w:val="000000100000" w:firstRow="0" w:lastRow="0" w:firstColumn="0" w:lastColumn="0" w:oddVBand="0" w:evenVBand="0" w:oddHBand="1" w:evenHBand="0" w:firstRowFirstColumn="0" w:firstRowLastColumn="0" w:lastRowFirstColumn="0" w:lastRowLastColumn="0"/>
        </w:trPr>
        <w:tc>
          <w:tcPr>
            <w:tcW w:w="4644" w:type="dxa"/>
          </w:tcPr>
          <w:p w14:paraId="182C8B66" w14:textId="77777777" w:rsidR="0077513D" w:rsidRPr="000D5BEF" w:rsidRDefault="0077513D" w:rsidP="0077513D">
            <w:pPr>
              <w:spacing w:beforeLines="20" w:before="48"/>
            </w:pPr>
            <w:r w:rsidRPr="000D5BEF">
              <w:t xml:space="preserve">Everyone in the State has a responsibility for biosecurity </w:t>
            </w:r>
          </w:p>
        </w:tc>
        <w:tc>
          <w:tcPr>
            <w:tcW w:w="1077" w:type="dxa"/>
          </w:tcPr>
          <w:p w14:paraId="7FEC844B" w14:textId="77777777" w:rsidR="0077513D" w:rsidRDefault="0077513D" w:rsidP="0077513D">
            <w:pPr>
              <w:spacing w:beforeLines="20" w:before="48"/>
              <w:jc w:val="center"/>
            </w:pPr>
            <w:r w:rsidRPr="002C2DB1">
              <w:sym w:font="Wingdings 2" w:char="F099"/>
            </w:r>
          </w:p>
        </w:tc>
        <w:tc>
          <w:tcPr>
            <w:tcW w:w="565" w:type="dxa"/>
          </w:tcPr>
          <w:p w14:paraId="2F9C32F3" w14:textId="77777777" w:rsidR="0077513D" w:rsidRDefault="0077513D" w:rsidP="0077513D">
            <w:pPr>
              <w:spacing w:beforeLines="20" w:before="48"/>
              <w:jc w:val="center"/>
            </w:pPr>
            <w:r w:rsidRPr="002C2DB1">
              <w:sym w:font="Wingdings 2" w:char="F099"/>
            </w:r>
          </w:p>
        </w:tc>
        <w:tc>
          <w:tcPr>
            <w:tcW w:w="567" w:type="dxa"/>
          </w:tcPr>
          <w:p w14:paraId="165B57F1" w14:textId="77777777" w:rsidR="0077513D" w:rsidRDefault="0077513D" w:rsidP="0077513D">
            <w:pPr>
              <w:spacing w:beforeLines="20" w:before="48"/>
              <w:jc w:val="center"/>
            </w:pPr>
            <w:r w:rsidRPr="002C2DB1">
              <w:sym w:font="Wingdings 2" w:char="F099"/>
            </w:r>
          </w:p>
        </w:tc>
        <w:tc>
          <w:tcPr>
            <w:tcW w:w="1077" w:type="dxa"/>
          </w:tcPr>
          <w:p w14:paraId="49496CDA" w14:textId="77777777" w:rsidR="0077513D" w:rsidRDefault="0077513D" w:rsidP="0077513D">
            <w:pPr>
              <w:spacing w:beforeLines="20" w:before="48"/>
              <w:jc w:val="center"/>
            </w:pPr>
            <w:r w:rsidRPr="002C2DB1">
              <w:sym w:font="Wingdings 2" w:char="F099"/>
            </w:r>
          </w:p>
        </w:tc>
        <w:tc>
          <w:tcPr>
            <w:tcW w:w="567" w:type="dxa"/>
          </w:tcPr>
          <w:p w14:paraId="20E1B8CB" w14:textId="77777777" w:rsidR="0077513D" w:rsidRDefault="0077513D" w:rsidP="0077513D">
            <w:pPr>
              <w:spacing w:beforeLines="20" w:before="48"/>
              <w:jc w:val="center"/>
            </w:pPr>
            <w:r w:rsidRPr="002C2DB1">
              <w:sym w:font="Wingdings 2" w:char="F099"/>
            </w:r>
          </w:p>
        </w:tc>
        <w:tc>
          <w:tcPr>
            <w:tcW w:w="567" w:type="dxa"/>
          </w:tcPr>
          <w:p w14:paraId="0E7B162C" w14:textId="77777777" w:rsidR="0077513D" w:rsidRDefault="0077513D" w:rsidP="0077513D">
            <w:pPr>
              <w:spacing w:beforeLines="20" w:before="48"/>
              <w:jc w:val="center"/>
            </w:pPr>
            <w:r w:rsidRPr="002C2DB1">
              <w:sym w:font="Wingdings 2" w:char="F099"/>
            </w:r>
          </w:p>
        </w:tc>
        <w:tc>
          <w:tcPr>
            <w:tcW w:w="1077" w:type="dxa"/>
          </w:tcPr>
          <w:p w14:paraId="230E41F8" w14:textId="77777777" w:rsidR="0077513D" w:rsidRDefault="0077513D" w:rsidP="0077513D">
            <w:pPr>
              <w:spacing w:beforeLines="20" w:before="48"/>
              <w:jc w:val="center"/>
            </w:pPr>
            <w:r w:rsidRPr="002C2DB1">
              <w:sym w:font="Wingdings 2" w:char="F099"/>
            </w:r>
          </w:p>
        </w:tc>
      </w:tr>
      <w:tr w:rsidR="0077513D" w:rsidRPr="000D5BEF" w14:paraId="03C6599C" w14:textId="77777777" w:rsidTr="0077513D">
        <w:tc>
          <w:tcPr>
            <w:tcW w:w="4644" w:type="dxa"/>
          </w:tcPr>
          <w:p w14:paraId="71D0FB74" w14:textId="77777777" w:rsidR="0077513D" w:rsidRPr="000D5BEF" w:rsidRDefault="0077513D" w:rsidP="0077513D">
            <w:pPr>
              <w:spacing w:beforeLines="20" w:before="48"/>
            </w:pPr>
            <w:r w:rsidRPr="000D5BEF">
              <w:t xml:space="preserve">Biosecurity is mainly the responsibility of government </w:t>
            </w:r>
          </w:p>
        </w:tc>
        <w:tc>
          <w:tcPr>
            <w:tcW w:w="1077" w:type="dxa"/>
          </w:tcPr>
          <w:p w14:paraId="794B86B3" w14:textId="77777777" w:rsidR="0077513D" w:rsidRDefault="0077513D" w:rsidP="0077513D">
            <w:pPr>
              <w:spacing w:beforeLines="20" w:before="48"/>
              <w:jc w:val="center"/>
            </w:pPr>
            <w:r w:rsidRPr="002C2DB1">
              <w:sym w:font="Wingdings 2" w:char="F099"/>
            </w:r>
          </w:p>
        </w:tc>
        <w:tc>
          <w:tcPr>
            <w:tcW w:w="565" w:type="dxa"/>
          </w:tcPr>
          <w:p w14:paraId="617B8114" w14:textId="77777777" w:rsidR="0077513D" w:rsidRDefault="0077513D" w:rsidP="0077513D">
            <w:pPr>
              <w:spacing w:beforeLines="20" w:before="48"/>
              <w:jc w:val="center"/>
            </w:pPr>
            <w:r w:rsidRPr="002C2DB1">
              <w:sym w:font="Wingdings 2" w:char="F099"/>
            </w:r>
          </w:p>
        </w:tc>
        <w:tc>
          <w:tcPr>
            <w:tcW w:w="567" w:type="dxa"/>
          </w:tcPr>
          <w:p w14:paraId="5A13C670" w14:textId="77777777" w:rsidR="0077513D" w:rsidRDefault="0077513D" w:rsidP="0077513D">
            <w:pPr>
              <w:spacing w:beforeLines="20" w:before="48"/>
              <w:jc w:val="center"/>
            </w:pPr>
            <w:r w:rsidRPr="002C2DB1">
              <w:sym w:font="Wingdings 2" w:char="F099"/>
            </w:r>
          </w:p>
        </w:tc>
        <w:tc>
          <w:tcPr>
            <w:tcW w:w="1077" w:type="dxa"/>
          </w:tcPr>
          <w:p w14:paraId="43B09F4A" w14:textId="77777777" w:rsidR="0077513D" w:rsidRDefault="0077513D" w:rsidP="0077513D">
            <w:pPr>
              <w:spacing w:beforeLines="20" w:before="48"/>
              <w:jc w:val="center"/>
            </w:pPr>
            <w:r w:rsidRPr="002C2DB1">
              <w:sym w:font="Wingdings 2" w:char="F099"/>
            </w:r>
          </w:p>
        </w:tc>
        <w:tc>
          <w:tcPr>
            <w:tcW w:w="567" w:type="dxa"/>
          </w:tcPr>
          <w:p w14:paraId="69DBA33C" w14:textId="77777777" w:rsidR="0077513D" w:rsidRDefault="0077513D" w:rsidP="0077513D">
            <w:pPr>
              <w:spacing w:beforeLines="20" w:before="48"/>
              <w:jc w:val="center"/>
            </w:pPr>
            <w:r w:rsidRPr="002C2DB1">
              <w:sym w:font="Wingdings 2" w:char="F099"/>
            </w:r>
          </w:p>
        </w:tc>
        <w:tc>
          <w:tcPr>
            <w:tcW w:w="567" w:type="dxa"/>
          </w:tcPr>
          <w:p w14:paraId="2A122E55" w14:textId="77777777" w:rsidR="0077513D" w:rsidRDefault="0077513D" w:rsidP="0077513D">
            <w:pPr>
              <w:spacing w:beforeLines="20" w:before="48"/>
              <w:jc w:val="center"/>
            </w:pPr>
            <w:r w:rsidRPr="002C2DB1">
              <w:sym w:font="Wingdings 2" w:char="F099"/>
            </w:r>
          </w:p>
        </w:tc>
        <w:tc>
          <w:tcPr>
            <w:tcW w:w="1077" w:type="dxa"/>
          </w:tcPr>
          <w:p w14:paraId="16883E2F" w14:textId="77777777" w:rsidR="0077513D" w:rsidRDefault="0077513D" w:rsidP="0077513D">
            <w:pPr>
              <w:spacing w:beforeLines="20" w:before="48"/>
              <w:jc w:val="center"/>
            </w:pPr>
            <w:r w:rsidRPr="002C2DB1">
              <w:sym w:font="Wingdings 2" w:char="F099"/>
            </w:r>
          </w:p>
        </w:tc>
      </w:tr>
      <w:tr w:rsidR="0077513D" w:rsidRPr="000D5BEF" w14:paraId="51DD776C" w14:textId="77777777" w:rsidTr="0077513D">
        <w:trPr>
          <w:cnfStyle w:val="000000100000" w:firstRow="0" w:lastRow="0" w:firstColumn="0" w:lastColumn="0" w:oddVBand="0" w:evenVBand="0" w:oddHBand="1" w:evenHBand="0" w:firstRowFirstColumn="0" w:firstRowLastColumn="0" w:lastRowFirstColumn="0" w:lastRowLastColumn="0"/>
        </w:trPr>
        <w:tc>
          <w:tcPr>
            <w:tcW w:w="4644" w:type="dxa"/>
          </w:tcPr>
          <w:p w14:paraId="6B68628D" w14:textId="77777777" w:rsidR="0077513D" w:rsidRPr="000D5BEF" w:rsidRDefault="0077513D" w:rsidP="0077513D">
            <w:pPr>
              <w:spacing w:beforeLines="20" w:before="48"/>
            </w:pPr>
            <w:r w:rsidRPr="000D5BEF">
              <w:t xml:space="preserve">Biosecurity is mainly the responsibility of those that create biosecurity risks </w:t>
            </w:r>
          </w:p>
        </w:tc>
        <w:tc>
          <w:tcPr>
            <w:tcW w:w="1077" w:type="dxa"/>
          </w:tcPr>
          <w:p w14:paraId="1E99B3DC" w14:textId="77777777" w:rsidR="0077513D" w:rsidRDefault="0077513D" w:rsidP="0077513D">
            <w:pPr>
              <w:spacing w:beforeLines="20" w:before="48"/>
              <w:jc w:val="center"/>
            </w:pPr>
            <w:r w:rsidRPr="002C2DB1">
              <w:sym w:font="Wingdings 2" w:char="F099"/>
            </w:r>
          </w:p>
        </w:tc>
        <w:tc>
          <w:tcPr>
            <w:tcW w:w="565" w:type="dxa"/>
          </w:tcPr>
          <w:p w14:paraId="0995C37C" w14:textId="77777777" w:rsidR="0077513D" w:rsidRDefault="0077513D" w:rsidP="0077513D">
            <w:pPr>
              <w:spacing w:beforeLines="20" w:before="48"/>
              <w:jc w:val="center"/>
            </w:pPr>
            <w:r w:rsidRPr="002C2DB1">
              <w:sym w:font="Wingdings 2" w:char="F099"/>
            </w:r>
          </w:p>
        </w:tc>
        <w:tc>
          <w:tcPr>
            <w:tcW w:w="567" w:type="dxa"/>
          </w:tcPr>
          <w:p w14:paraId="5179273D" w14:textId="77777777" w:rsidR="0077513D" w:rsidRDefault="0077513D" w:rsidP="0077513D">
            <w:pPr>
              <w:spacing w:beforeLines="20" w:before="48"/>
              <w:jc w:val="center"/>
            </w:pPr>
            <w:r w:rsidRPr="002C2DB1">
              <w:sym w:font="Wingdings 2" w:char="F099"/>
            </w:r>
          </w:p>
        </w:tc>
        <w:tc>
          <w:tcPr>
            <w:tcW w:w="1077" w:type="dxa"/>
          </w:tcPr>
          <w:p w14:paraId="2FE33C08" w14:textId="77777777" w:rsidR="0077513D" w:rsidRDefault="0077513D" w:rsidP="0077513D">
            <w:pPr>
              <w:spacing w:beforeLines="20" w:before="48"/>
              <w:jc w:val="center"/>
            </w:pPr>
            <w:r w:rsidRPr="002C2DB1">
              <w:sym w:font="Wingdings 2" w:char="F099"/>
            </w:r>
          </w:p>
        </w:tc>
        <w:tc>
          <w:tcPr>
            <w:tcW w:w="567" w:type="dxa"/>
          </w:tcPr>
          <w:p w14:paraId="3B82D5D3" w14:textId="77777777" w:rsidR="0077513D" w:rsidRDefault="0077513D" w:rsidP="0077513D">
            <w:pPr>
              <w:spacing w:beforeLines="20" w:before="48"/>
              <w:jc w:val="center"/>
            </w:pPr>
            <w:r w:rsidRPr="002C2DB1">
              <w:sym w:font="Wingdings 2" w:char="F099"/>
            </w:r>
          </w:p>
        </w:tc>
        <w:tc>
          <w:tcPr>
            <w:tcW w:w="567" w:type="dxa"/>
          </w:tcPr>
          <w:p w14:paraId="2551CE1B" w14:textId="77777777" w:rsidR="0077513D" w:rsidRDefault="0077513D" w:rsidP="0077513D">
            <w:pPr>
              <w:spacing w:beforeLines="20" w:before="48"/>
              <w:jc w:val="center"/>
            </w:pPr>
            <w:r w:rsidRPr="002C2DB1">
              <w:sym w:font="Wingdings 2" w:char="F099"/>
            </w:r>
          </w:p>
        </w:tc>
        <w:tc>
          <w:tcPr>
            <w:tcW w:w="1077" w:type="dxa"/>
          </w:tcPr>
          <w:p w14:paraId="4E5C9C1A" w14:textId="77777777" w:rsidR="0077513D" w:rsidRDefault="0077513D" w:rsidP="0077513D">
            <w:pPr>
              <w:spacing w:beforeLines="20" w:before="48"/>
              <w:jc w:val="center"/>
            </w:pPr>
            <w:r w:rsidRPr="002C2DB1">
              <w:sym w:font="Wingdings 2" w:char="F099"/>
            </w:r>
          </w:p>
        </w:tc>
      </w:tr>
      <w:tr w:rsidR="0077513D" w:rsidRPr="000D5BEF" w14:paraId="23E97457" w14:textId="77777777" w:rsidTr="0077513D">
        <w:tc>
          <w:tcPr>
            <w:tcW w:w="4644" w:type="dxa"/>
          </w:tcPr>
          <w:p w14:paraId="383B4C3E" w14:textId="77777777" w:rsidR="0077513D" w:rsidRPr="000D5BEF" w:rsidRDefault="0077513D" w:rsidP="0077513D">
            <w:pPr>
              <w:spacing w:beforeLines="20" w:before="48"/>
            </w:pPr>
            <w:r w:rsidRPr="000D5BEF">
              <w:t xml:space="preserve">Biosecurity is mainly the responsibility of industries that benefit from the management of pests, weeds and diseases </w:t>
            </w:r>
          </w:p>
        </w:tc>
        <w:tc>
          <w:tcPr>
            <w:tcW w:w="1077" w:type="dxa"/>
          </w:tcPr>
          <w:p w14:paraId="55E8B07A" w14:textId="77777777" w:rsidR="0077513D" w:rsidRDefault="0077513D" w:rsidP="0077513D">
            <w:pPr>
              <w:spacing w:beforeLines="20" w:before="48"/>
              <w:jc w:val="center"/>
            </w:pPr>
            <w:r w:rsidRPr="002C2DB1">
              <w:sym w:font="Wingdings 2" w:char="F099"/>
            </w:r>
          </w:p>
        </w:tc>
        <w:tc>
          <w:tcPr>
            <w:tcW w:w="565" w:type="dxa"/>
          </w:tcPr>
          <w:p w14:paraId="5AC71CDF" w14:textId="77777777" w:rsidR="0077513D" w:rsidRDefault="0077513D" w:rsidP="0077513D">
            <w:pPr>
              <w:spacing w:beforeLines="20" w:before="48"/>
              <w:jc w:val="center"/>
            </w:pPr>
            <w:r w:rsidRPr="002C2DB1">
              <w:sym w:font="Wingdings 2" w:char="F099"/>
            </w:r>
          </w:p>
        </w:tc>
        <w:tc>
          <w:tcPr>
            <w:tcW w:w="567" w:type="dxa"/>
          </w:tcPr>
          <w:p w14:paraId="23AB8E13" w14:textId="77777777" w:rsidR="0077513D" w:rsidRDefault="0077513D" w:rsidP="0077513D">
            <w:pPr>
              <w:spacing w:beforeLines="20" w:before="48"/>
              <w:jc w:val="center"/>
            </w:pPr>
            <w:r w:rsidRPr="002C2DB1">
              <w:sym w:font="Wingdings 2" w:char="F099"/>
            </w:r>
          </w:p>
        </w:tc>
        <w:tc>
          <w:tcPr>
            <w:tcW w:w="1077" w:type="dxa"/>
          </w:tcPr>
          <w:p w14:paraId="07763A6F" w14:textId="77777777" w:rsidR="0077513D" w:rsidRDefault="0077513D" w:rsidP="0077513D">
            <w:pPr>
              <w:spacing w:beforeLines="20" w:before="48"/>
              <w:jc w:val="center"/>
            </w:pPr>
            <w:r w:rsidRPr="002C2DB1">
              <w:sym w:font="Wingdings 2" w:char="F099"/>
            </w:r>
          </w:p>
        </w:tc>
        <w:tc>
          <w:tcPr>
            <w:tcW w:w="567" w:type="dxa"/>
          </w:tcPr>
          <w:p w14:paraId="5DAC6B65" w14:textId="77777777" w:rsidR="0077513D" w:rsidRDefault="0077513D" w:rsidP="0077513D">
            <w:pPr>
              <w:spacing w:beforeLines="20" w:before="48"/>
              <w:jc w:val="center"/>
            </w:pPr>
            <w:r w:rsidRPr="002C2DB1">
              <w:sym w:font="Wingdings 2" w:char="F099"/>
            </w:r>
          </w:p>
        </w:tc>
        <w:tc>
          <w:tcPr>
            <w:tcW w:w="567" w:type="dxa"/>
          </w:tcPr>
          <w:p w14:paraId="3AA0EEF0" w14:textId="77777777" w:rsidR="0077513D" w:rsidRDefault="0077513D" w:rsidP="0077513D">
            <w:pPr>
              <w:spacing w:beforeLines="20" w:before="48"/>
              <w:jc w:val="center"/>
            </w:pPr>
            <w:r w:rsidRPr="002C2DB1">
              <w:sym w:font="Wingdings 2" w:char="F099"/>
            </w:r>
          </w:p>
        </w:tc>
        <w:tc>
          <w:tcPr>
            <w:tcW w:w="1077" w:type="dxa"/>
          </w:tcPr>
          <w:p w14:paraId="4AFB4095" w14:textId="77777777" w:rsidR="0077513D" w:rsidRDefault="0077513D" w:rsidP="0077513D">
            <w:pPr>
              <w:spacing w:beforeLines="20" w:before="48"/>
              <w:jc w:val="center"/>
            </w:pPr>
            <w:r w:rsidRPr="002C2DB1">
              <w:sym w:font="Wingdings 2" w:char="F099"/>
            </w:r>
          </w:p>
        </w:tc>
      </w:tr>
      <w:tr w:rsidR="0077513D" w:rsidRPr="000D5BEF" w14:paraId="240A0B21" w14:textId="77777777" w:rsidTr="0077513D">
        <w:trPr>
          <w:cnfStyle w:val="000000100000" w:firstRow="0" w:lastRow="0" w:firstColumn="0" w:lastColumn="0" w:oddVBand="0" w:evenVBand="0" w:oddHBand="1" w:evenHBand="0" w:firstRowFirstColumn="0" w:firstRowLastColumn="0" w:lastRowFirstColumn="0" w:lastRowLastColumn="0"/>
        </w:trPr>
        <w:tc>
          <w:tcPr>
            <w:tcW w:w="4644" w:type="dxa"/>
          </w:tcPr>
          <w:p w14:paraId="4E20E9C6" w14:textId="77777777" w:rsidR="0077513D" w:rsidRPr="000D5BEF" w:rsidRDefault="0077513D" w:rsidP="0077513D">
            <w:pPr>
              <w:spacing w:beforeLines="20" w:before="48"/>
            </w:pPr>
            <w:r w:rsidRPr="000D5BEF">
              <w:t xml:space="preserve">Biosecurity is mainly the responsibility of </w:t>
            </w:r>
            <w:proofErr w:type="gramStart"/>
            <w:r w:rsidRPr="000D5BEF">
              <w:t>whomever</w:t>
            </w:r>
            <w:proofErr w:type="gramEnd"/>
            <w:r w:rsidRPr="000D5BEF">
              <w:t xml:space="preserve"> uses the land and water resources (e.g. fishers, campers, bushwalkers, urban and rural landholders etc.) </w:t>
            </w:r>
          </w:p>
        </w:tc>
        <w:tc>
          <w:tcPr>
            <w:tcW w:w="1077" w:type="dxa"/>
          </w:tcPr>
          <w:p w14:paraId="5FB5254C" w14:textId="77777777" w:rsidR="0077513D" w:rsidRDefault="0077513D" w:rsidP="0077513D">
            <w:pPr>
              <w:spacing w:beforeLines="20" w:before="48"/>
              <w:jc w:val="center"/>
            </w:pPr>
            <w:r w:rsidRPr="002C2DB1">
              <w:sym w:font="Wingdings 2" w:char="F099"/>
            </w:r>
          </w:p>
        </w:tc>
        <w:tc>
          <w:tcPr>
            <w:tcW w:w="565" w:type="dxa"/>
          </w:tcPr>
          <w:p w14:paraId="4364C2AE" w14:textId="77777777" w:rsidR="0077513D" w:rsidRDefault="0077513D" w:rsidP="0077513D">
            <w:pPr>
              <w:spacing w:beforeLines="20" w:before="48"/>
              <w:jc w:val="center"/>
            </w:pPr>
            <w:r w:rsidRPr="002C2DB1">
              <w:sym w:font="Wingdings 2" w:char="F099"/>
            </w:r>
          </w:p>
        </w:tc>
        <w:tc>
          <w:tcPr>
            <w:tcW w:w="567" w:type="dxa"/>
          </w:tcPr>
          <w:p w14:paraId="0B8D6089" w14:textId="77777777" w:rsidR="0077513D" w:rsidRDefault="0077513D" w:rsidP="0077513D">
            <w:pPr>
              <w:spacing w:beforeLines="20" w:before="48"/>
              <w:jc w:val="center"/>
            </w:pPr>
            <w:r w:rsidRPr="002C2DB1">
              <w:sym w:font="Wingdings 2" w:char="F099"/>
            </w:r>
          </w:p>
        </w:tc>
        <w:tc>
          <w:tcPr>
            <w:tcW w:w="1077" w:type="dxa"/>
          </w:tcPr>
          <w:p w14:paraId="49BD1AA5" w14:textId="77777777" w:rsidR="0077513D" w:rsidRDefault="0077513D" w:rsidP="0077513D">
            <w:pPr>
              <w:spacing w:beforeLines="20" w:before="48"/>
              <w:jc w:val="center"/>
            </w:pPr>
            <w:r w:rsidRPr="002C2DB1">
              <w:sym w:font="Wingdings 2" w:char="F099"/>
            </w:r>
          </w:p>
        </w:tc>
        <w:tc>
          <w:tcPr>
            <w:tcW w:w="567" w:type="dxa"/>
          </w:tcPr>
          <w:p w14:paraId="76B41297" w14:textId="77777777" w:rsidR="0077513D" w:rsidRDefault="0077513D" w:rsidP="0077513D">
            <w:pPr>
              <w:spacing w:beforeLines="20" w:before="48"/>
              <w:jc w:val="center"/>
            </w:pPr>
            <w:r w:rsidRPr="002C2DB1">
              <w:sym w:font="Wingdings 2" w:char="F099"/>
            </w:r>
          </w:p>
        </w:tc>
        <w:tc>
          <w:tcPr>
            <w:tcW w:w="567" w:type="dxa"/>
          </w:tcPr>
          <w:p w14:paraId="753A2536" w14:textId="77777777" w:rsidR="0077513D" w:rsidRDefault="0077513D" w:rsidP="0077513D">
            <w:pPr>
              <w:spacing w:beforeLines="20" w:before="48"/>
              <w:jc w:val="center"/>
            </w:pPr>
            <w:r w:rsidRPr="002C2DB1">
              <w:sym w:font="Wingdings 2" w:char="F099"/>
            </w:r>
          </w:p>
        </w:tc>
        <w:tc>
          <w:tcPr>
            <w:tcW w:w="1077" w:type="dxa"/>
          </w:tcPr>
          <w:p w14:paraId="52B27A48" w14:textId="77777777" w:rsidR="0077513D" w:rsidRDefault="0077513D" w:rsidP="0077513D">
            <w:pPr>
              <w:spacing w:beforeLines="20" w:before="48"/>
              <w:jc w:val="center"/>
            </w:pPr>
            <w:r w:rsidRPr="002C2DB1">
              <w:sym w:font="Wingdings 2" w:char="F099"/>
            </w:r>
          </w:p>
        </w:tc>
      </w:tr>
    </w:tbl>
    <w:p w14:paraId="3059A4D7" w14:textId="77777777" w:rsidR="0077513D" w:rsidRPr="00017CA6" w:rsidRDefault="0077513D" w:rsidP="0077513D">
      <w:pPr>
        <w:pStyle w:val="question"/>
      </w:pPr>
    </w:p>
    <w:p w14:paraId="7A159A41" w14:textId="77777777" w:rsidR="0077513D" w:rsidRDefault="0077513D" w:rsidP="0077513D">
      <w:r w:rsidRPr="00017CA6">
        <w:t xml:space="preserve">Comments </w:t>
      </w:r>
    </w:p>
    <w:tbl>
      <w:tblPr>
        <w:tblStyle w:val="TableGrid"/>
        <w:tblW w:w="10598" w:type="dxa"/>
        <w:tblLook w:val="04A0" w:firstRow="1" w:lastRow="0" w:firstColumn="1" w:lastColumn="0" w:noHBand="0" w:noVBand="1"/>
        <w:tblDescription w:val="Question 7 - Box to include your comments"/>
      </w:tblPr>
      <w:tblGrid>
        <w:gridCol w:w="10598"/>
      </w:tblGrid>
      <w:tr w:rsidR="0077513D" w14:paraId="02FCFB18" w14:textId="77777777" w:rsidTr="0077513D">
        <w:trPr>
          <w:cantSplit/>
          <w:trHeight w:val="1555"/>
          <w:tblHeader/>
        </w:trPr>
        <w:tc>
          <w:tcPr>
            <w:tcW w:w="10598" w:type="dxa"/>
            <w:tcBorders>
              <w:top w:val="nil"/>
              <w:left w:val="nil"/>
              <w:bottom w:val="nil"/>
              <w:right w:val="nil"/>
            </w:tcBorders>
            <w:shd w:val="clear" w:color="auto" w:fill="EEECE1" w:themeFill="background2"/>
          </w:tcPr>
          <w:p w14:paraId="29CB9AC3" w14:textId="77777777" w:rsidR="0077513D" w:rsidRDefault="0077513D" w:rsidP="0077513D"/>
        </w:tc>
      </w:tr>
    </w:tbl>
    <w:p w14:paraId="3E396970" w14:textId="77777777" w:rsidR="0077513D" w:rsidRPr="00017CA6" w:rsidRDefault="0077513D" w:rsidP="0077513D"/>
    <w:p w14:paraId="3B8EBD7D" w14:textId="77777777" w:rsidR="0077513D" w:rsidRDefault="0077513D">
      <w:pPr>
        <w:spacing w:after="200" w:line="276" w:lineRule="auto"/>
        <w:rPr>
          <w:b/>
          <w:color w:val="000000" w:themeColor="text1"/>
          <w:sz w:val="24"/>
          <w:szCs w:val="24"/>
        </w:rPr>
      </w:pPr>
      <w:r>
        <w:br w:type="page"/>
      </w:r>
    </w:p>
    <w:p w14:paraId="6E08400C" w14:textId="77777777" w:rsidR="0077513D" w:rsidRPr="00017CA6" w:rsidRDefault="0077513D" w:rsidP="0077513D">
      <w:pPr>
        <w:pStyle w:val="question"/>
      </w:pPr>
      <w:r w:rsidRPr="00017CA6">
        <w:lastRenderedPageBreak/>
        <w:t xml:space="preserve">8. </w:t>
      </w:r>
      <w:r>
        <w:tab/>
      </w:r>
      <w:r w:rsidRPr="00017CA6">
        <w:t xml:space="preserve">The following statements relate to possible principles to guide biosecurity policy </w:t>
      </w:r>
      <w:r w:rsidRPr="00017CA6">
        <w:rPr>
          <w:bCs/>
        </w:rPr>
        <w:t xml:space="preserve">and actions. Please provide your agreement or disagreement with each statement. </w:t>
      </w:r>
    </w:p>
    <w:tbl>
      <w:tblPr>
        <w:tblStyle w:val="Style1"/>
        <w:tblW w:w="10546" w:type="dxa"/>
        <w:tblLook w:val="04A0" w:firstRow="1" w:lastRow="0" w:firstColumn="1" w:lastColumn="0" w:noHBand="0" w:noVBand="1"/>
        <w:tblDescription w:val="Question 8 - Set ofstatements to indicate your degree of agreement or disagreement"/>
      </w:tblPr>
      <w:tblGrid>
        <w:gridCol w:w="4836"/>
        <w:gridCol w:w="1121"/>
        <w:gridCol w:w="590"/>
        <w:gridCol w:w="591"/>
        <w:gridCol w:w="1104"/>
        <w:gridCol w:w="591"/>
        <w:gridCol w:w="591"/>
        <w:gridCol w:w="1122"/>
      </w:tblGrid>
      <w:tr w:rsidR="0077513D" w:rsidRPr="003C1B44" w14:paraId="5C953F2E" w14:textId="77777777" w:rsidTr="0077513D">
        <w:trPr>
          <w:cnfStyle w:val="100000000000" w:firstRow="1" w:lastRow="0" w:firstColumn="0" w:lastColumn="0" w:oddVBand="0" w:evenVBand="0" w:oddHBand="0" w:evenHBand="0" w:firstRowFirstColumn="0" w:firstRowLastColumn="0" w:lastRowFirstColumn="0" w:lastRowLastColumn="0"/>
        </w:trPr>
        <w:tc>
          <w:tcPr>
            <w:tcW w:w="4644" w:type="dxa"/>
          </w:tcPr>
          <w:p w14:paraId="4D8DEBD1" w14:textId="77777777" w:rsidR="0077513D" w:rsidRPr="000D5BEF" w:rsidRDefault="0077513D" w:rsidP="0077513D">
            <w:pPr>
              <w:spacing w:beforeLines="20" w:before="48" w:line="240" w:lineRule="auto"/>
              <w:jc w:val="center"/>
            </w:pPr>
          </w:p>
        </w:tc>
        <w:tc>
          <w:tcPr>
            <w:tcW w:w="1077" w:type="dxa"/>
          </w:tcPr>
          <w:p w14:paraId="589C9AA6" w14:textId="77777777" w:rsidR="0077513D" w:rsidRPr="0014238B" w:rsidRDefault="0077513D" w:rsidP="0077513D">
            <w:pPr>
              <w:spacing w:beforeLines="20" w:before="48" w:line="240" w:lineRule="auto"/>
              <w:jc w:val="center"/>
              <w:rPr>
                <w:rFonts w:cs="Arial"/>
                <w:color w:val="231F20"/>
              </w:rPr>
            </w:pPr>
            <w:r w:rsidRPr="000D5BEF">
              <w:rPr>
                <w:rFonts w:cs="Arial"/>
                <w:color w:val="231F20"/>
              </w:rPr>
              <w:t>1 strongly</w:t>
            </w:r>
            <w:r>
              <w:rPr>
                <w:rFonts w:cs="Arial"/>
                <w:color w:val="231F20"/>
              </w:rPr>
              <w:t xml:space="preserve"> </w:t>
            </w:r>
            <w:r w:rsidRPr="000D5BEF">
              <w:t>disagree</w:t>
            </w:r>
          </w:p>
        </w:tc>
        <w:tc>
          <w:tcPr>
            <w:tcW w:w="567" w:type="dxa"/>
          </w:tcPr>
          <w:p w14:paraId="0AE5B776" w14:textId="77777777" w:rsidR="0077513D" w:rsidRPr="000D5BEF" w:rsidRDefault="0077513D" w:rsidP="0077513D">
            <w:pPr>
              <w:spacing w:beforeLines="20" w:before="48" w:line="240" w:lineRule="auto"/>
              <w:jc w:val="center"/>
            </w:pPr>
            <w:r w:rsidRPr="000D5BEF">
              <w:t>2</w:t>
            </w:r>
          </w:p>
        </w:tc>
        <w:tc>
          <w:tcPr>
            <w:tcW w:w="567" w:type="dxa"/>
          </w:tcPr>
          <w:p w14:paraId="29BBE596" w14:textId="77777777" w:rsidR="0077513D" w:rsidRPr="000D5BEF" w:rsidRDefault="0077513D" w:rsidP="0077513D">
            <w:pPr>
              <w:spacing w:beforeLines="20" w:before="48" w:line="240" w:lineRule="auto"/>
              <w:jc w:val="center"/>
            </w:pPr>
            <w:r w:rsidRPr="000D5BEF">
              <w:t>3</w:t>
            </w:r>
          </w:p>
        </w:tc>
        <w:tc>
          <w:tcPr>
            <w:tcW w:w="1060" w:type="dxa"/>
          </w:tcPr>
          <w:p w14:paraId="28637C6B" w14:textId="77777777" w:rsidR="0077513D" w:rsidRPr="000D5BEF" w:rsidRDefault="0077513D" w:rsidP="0077513D">
            <w:pPr>
              <w:spacing w:beforeLines="20" w:before="48" w:line="240" w:lineRule="auto"/>
              <w:jc w:val="center"/>
            </w:pPr>
            <w:r w:rsidRPr="000D5BEF">
              <w:rPr>
                <w:rFonts w:cs="Arial"/>
                <w:color w:val="231F20"/>
              </w:rPr>
              <w:t>4</w:t>
            </w:r>
            <w:r w:rsidRPr="000D5BEF">
              <w:rPr>
                <w:rFonts w:cs="Arial"/>
                <w:color w:val="231F20"/>
              </w:rPr>
              <w:br/>
              <w:t>neither</w:t>
            </w:r>
            <w:r>
              <w:rPr>
                <w:rFonts w:cs="Arial"/>
                <w:color w:val="231F20"/>
              </w:rPr>
              <w:t xml:space="preserve"> </w:t>
            </w:r>
            <w:r w:rsidRPr="000D5BEF">
              <w:rPr>
                <w:rFonts w:cs="Arial"/>
                <w:color w:val="231F20"/>
              </w:rPr>
              <w:t>agree or</w:t>
            </w:r>
            <w:r>
              <w:rPr>
                <w:rFonts w:cs="Arial"/>
                <w:color w:val="231F20"/>
              </w:rPr>
              <w:t xml:space="preserve"> </w:t>
            </w:r>
            <w:r w:rsidRPr="000D5BEF">
              <w:t>disagree</w:t>
            </w:r>
          </w:p>
        </w:tc>
        <w:tc>
          <w:tcPr>
            <w:tcW w:w="567" w:type="dxa"/>
          </w:tcPr>
          <w:p w14:paraId="0BA8CEF2" w14:textId="77777777" w:rsidR="0077513D" w:rsidRPr="000D5BEF" w:rsidRDefault="0077513D" w:rsidP="0077513D">
            <w:pPr>
              <w:spacing w:beforeLines="20" w:before="48" w:line="240" w:lineRule="auto"/>
              <w:jc w:val="center"/>
            </w:pPr>
            <w:r w:rsidRPr="000D5BEF">
              <w:t>5</w:t>
            </w:r>
          </w:p>
        </w:tc>
        <w:tc>
          <w:tcPr>
            <w:tcW w:w="567" w:type="dxa"/>
          </w:tcPr>
          <w:p w14:paraId="6617C49F" w14:textId="77777777" w:rsidR="0077513D" w:rsidRPr="000D5BEF" w:rsidRDefault="0077513D" w:rsidP="0077513D">
            <w:pPr>
              <w:spacing w:beforeLines="20" w:before="48" w:line="240" w:lineRule="auto"/>
              <w:jc w:val="center"/>
            </w:pPr>
            <w:r w:rsidRPr="000D5BEF">
              <w:t>6</w:t>
            </w:r>
          </w:p>
        </w:tc>
        <w:tc>
          <w:tcPr>
            <w:tcW w:w="1077" w:type="dxa"/>
          </w:tcPr>
          <w:p w14:paraId="38DEF622" w14:textId="77777777" w:rsidR="0077513D" w:rsidRPr="000D5BEF" w:rsidRDefault="0077513D" w:rsidP="0077513D">
            <w:pPr>
              <w:spacing w:beforeLines="20" w:before="48" w:line="240" w:lineRule="auto"/>
              <w:jc w:val="center"/>
            </w:pPr>
            <w:r w:rsidRPr="000D5BEF">
              <w:rPr>
                <w:rFonts w:cs="Arial"/>
                <w:color w:val="231F20"/>
              </w:rPr>
              <w:t>7</w:t>
            </w:r>
            <w:r w:rsidRPr="000D5BEF">
              <w:rPr>
                <w:rFonts w:cs="Arial"/>
                <w:color w:val="231F20"/>
              </w:rPr>
              <w:br/>
              <w:t>strongly</w:t>
            </w:r>
            <w:r>
              <w:rPr>
                <w:rFonts w:cs="Arial"/>
                <w:color w:val="231F20"/>
              </w:rPr>
              <w:t xml:space="preserve"> </w:t>
            </w:r>
            <w:r w:rsidRPr="000D5BEF">
              <w:t>agree</w:t>
            </w:r>
          </w:p>
        </w:tc>
      </w:tr>
      <w:tr w:rsidR="0077513D" w:rsidRPr="000D5BEF" w14:paraId="1B251878" w14:textId="77777777" w:rsidTr="0077513D">
        <w:trPr>
          <w:cnfStyle w:val="000000100000" w:firstRow="0" w:lastRow="0" w:firstColumn="0" w:lastColumn="0" w:oddVBand="0" w:evenVBand="0" w:oddHBand="1" w:evenHBand="0" w:firstRowFirstColumn="0" w:firstRowLastColumn="0" w:lastRowFirstColumn="0" w:lastRowLastColumn="0"/>
          <w:cantSplit/>
        </w:trPr>
        <w:tc>
          <w:tcPr>
            <w:tcW w:w="4644" w:type="dxa"/>
          </w:tcPr>
          <w:p w14:paraId="64A5B6D4" w14:textId="77777777" w:rsidR="0077513D" w:rsidRPr="000D5BEF" w:rsidRDefault="0077513D" w:rsidP="0077513D">
            <w:pPr>
              <w:spacing w:beforeLines="20" w:before="48"/>
            </w:pPr>
            <w:r w:rsidRPr="000D5BEF">
              <w:t xml:space="preserve">A well-managed biosecurity system is important for my sector / area of interest </w:t>
            </w:r>
          </w:p>
        </w:tc>
        <w:tc>
          <w:tcPr>
            <w:tcW w:w="1077" w:type="dxa"/>
          </w:tcPr>
          <w:p w14:paraId="4463CB2A" w14:textId="77777777" w:rsidR="0077513D" w:rsidRDefault="0077513D" w:rsidP="0077513D">
            <w:pPr>
              <w:spacing w:beforeLines="20" w:before="48"/>
              <w:jc w:val="center"/>
            </w:pPr>
            <w:r w:rsidRPr="009E561B">
              <w:sym w:font="Wingdings 2" w:char="F099"/>
            </w:r>
          </w:p>
        </w:tc>
        <w:tc>
          <w:tcPr>
            <w:tcW w:w="567" w:type="dxa"/>
          </w:tcPr>
          <w:p w14:paraId="4375F688" w14:textId="77777777" w:rsidR="0077513D" w:rsidRDefault="0077513D" w:rsidP="0077513D">
            <w:pPr>
              <w:spacing w:beforeLines="20" w:before="48"/>
              <w:jc w:val="center"/>
            </w:pPr>
            <w:r w:rsidRPr="009E561B">
              <w:sym w:font="Wingdings 2" w:char="F099"/>
            </w:r>
          </w:p>
        </w:tc>
        <w:tc>
          <w:tcPr>
            <w:tcW w:w="567" w:type="dxa"/>
          </w:tcPr>
          <w:p w14:paraId="1F7F84F1" w14:textId="77777777" w:rsidR="0077513D" w:rsidRDefault="0077513D" w:rsidP="0077513D">
            <w:pPr>
              <w:spacing w:beforeLines="20" w:before="48"/>
              <w:jc w:val="center"/>
            </w:pPr>
            <w:r w:rsidRPr="009E561B">
              <w:sym w:font="Wingdings 2" w:char="F099"/>
            </w:r>
          </w:p>
        </w:tc>
        <w:tc>
          <w:tcPr>
            <w:tcW w:w="1060" w:type="dxa"/>
          </w:tcPr>
          <w:p w14:paraId="7A1BDA9A" w14:textId="77777777" w:rsidR="0077513D" w:rsidRDefault="0077513D" w:rsidP="0077513D">
            <w:pPr>
              <w:spacing w:beforeLines="20" w:before="48"/>
              <w:jc w:val="center"/>
            </w:pPr>
            <w:r w:rsidRPr="009E561B">
              <w:sym w:font="Wingdings 2" w:char="F099"/>
            </w:r>
          </w:p>
        </w:tc>
        <w:tc>
          <w:tcPr>
            <w:tcW w:w="567" w:type="dxa"/>
          </w:tcPr>
          <w:p w14:paraId="199E49F9" w14:textId="77777777" w:rsidR="0077513D" w:rsidRDefault="0077513D" w:rsidP="0077513D">
            <w:pPr>
              <w:spacing w:beforeLines="20" w:before="48"/>
              <w:jc w:val="center"/>
            </w:pPr>
            <w:r w:rsidRPr="009E561B">
              <w:sym w:font="Wingdings 2" w:char="F099"/>
            </w:r>
          </w:p>
        </w:tc>
        <w:tc>
          <w:tcPr>
            <w:tcW w:w="567" w:type="dxa"/>
          </w:tcPr>
          <w:p w14:paraId="68888B07" w14:textId="77777777" w:rsidR="0077513D" w:rsidRDefault="0077513D" w:rsidP="0077513D">
            <w:pPr>
              <w:spacing w:beforeLines="20" w:before="48"/>
              <w:jc w:val="center"/>
            </w:pPr>
            <w:r w:rsidRPr="009E561B">
              <w:sym w:font="Wingdings 2" w:char="F099"/>
            </w:r>
          </w:p>
        </w:tc>
        <w:tc>
          <w:tcPr>
            <w:tcW w:w="1077" w:type="dxa"/>
          </w:tcPr>
          <w:p w14:paraId="594A86E0" w14:textId="77777777" w:rsidR="0077513D" w:rsidRDefault="0077513D" w:rsidP="0077513D">
            <w:pPr>
              <w:spacing w:beforeLines="20" w:before="48"/>
              <w:jc w:val="center"/>
            </w:pPr>
            <w:r w:rsidRPr="009E561B">
              <w:sym w:font="Wingdings 2" w:char="F099"/>
            </w:r>
          </w:p>
        </w:tc>
      </w:tr>
      <w:tr w:rsidR="0077513D" w:rsidRPr="000D5BEF" w14:paraId="48500FEE" w14:textId="77777777" w:rsidTr="0077513D">
        <w:trPr>
          <w:cantSplit/>
        </w:trPr>
        <w:tc>
          <w:tcPr>
            <w:tcW w:w="4644" w:type="dxa"/>
          </w:tcPr>
          <w:p w14:paraId="792865F1" w14:textId="77777777" w:rsidR="0077513D" w:rsidRPr="000D5BEF" w:rsidRDefault="0077513D" w:rsidP="0077513D">
            <w:pPr>
              <w:spacing w:beforeLines="20" w:before="48"/>
            </w:pPr>
            <w:r w:rsidRPr="000D5BEF">
              <w:t xml:space="preserve">It is important for everyone to minimise the spread of pests, weeds and diseases </w:t>
            </w:r>
          </w:p>
        </w:tc>
        <w:tc>
          <w:tcPr>
            <w:tcW w:w="1077" w:type="dxa"/>
          </w:tcPr>
          <w:p w14:paraId="1DDBD127" w14:textId="77777777" w:rsidR="0077513D" w:rsidRDefault="0077513D" w:rsidP="0077513D">
            <w:pPr>
              <w:spacing w:beforeLines="20" w:before="48"/>
              <w:jc w:val="center"/>
            </w:pPr>
            <w:r w:rsidRPr="009E561B">
              <w:sym w:font="Wingdings 2" w:char="F099"/>
            </w:r>
          </w:p>
        </w:tc>
        <w:tc>
          <w:tcPr>
            <w:tcW w:w="567" w:type="dxa"/>
          </w:tcPr>
          <w:p w14:paraId="14F38FB9" w14:textId="77777777" w:rsidR="0077513D" w:rsidRDefault="0077513D" w:rsidP="0077513D">
            <w:pPr>
              <w:spacing w:beforeLines="20" w:before="48"/>
              <w:jc w:val="center"/>
            </w:pPr>
            <w:r w:rsidRPr="009E561B">
              <w:sym w:font="Wingdings 2" w:char="F099"/>
            </w:r>
          </w:p>
        </w:tc>
        <w:tc>
          <w:tcPr>
            <w:tcW w:w="567" w:type="dxa"/>
          </w:tcPr>
          <w:p w14:paraId="5EDD7BC8" w14:textId="77777777" w:rsidR="0077513D" w:rsidRDefault="0077513D" w:rsidP="0077513D">
            <w:pPr>
              <w:spacing w:beforeLines="20" w:before="48"/>
              <w:jc w:val="center"/>
            </w:pPr>
            <w:r w:rsidRPr="009E561B">
              <w:sym w:font="Wingdings 2" w:char="F099"/>
            </w:r>
          </w:p>
        </w:tc>
        <w:tc>
          <w:tcPr>
            <w:tcW w:w="1060" w:type="dxa"/>
          </w:tcPr>
          <w:p w14:paraId="71E27DBF" w14:textId="77777777" w:rsidR="0077513D" w:rsidRDefault="0077513D" w:rsidP="0077513D">
            <w:pPr>
              <w:spacing w:beforeLines="20" w:before="48"/>
              <w:jc w:val="center"/>
            </w:pPr>
            <w:r w:rsidRPr="009E561B">
              <w:sym w:font="Wingdings 2" w:char="F099"/>
            </w:r>
          </w:p>
        </w:tc>
        <w:tc>
          <w:tcPr>
            <w:tcW w:w="567" w:type="dxa"/>
          </w:tcPr>
          <w:p w14:paraId="18FEFD47" w14:textId="77777777" w:rsidR="0077513D" w:rsidRDefault="0077513D" w:rsidP="0077513D">
            <w:pPr>
              <w:spacing w:beforeLines="20" w:before="48"/>
              <w:jc w:val="center"/>
            </w:pPr>
            <w:r w:rsidRPr="009E561B">
              <w:sym w:font="Wingdings 2" w:char="F099"/>
            </w:r>
          </w:p>
        </w:tc>
        <w:tc>
          <w:tcPr>
            <w:tcW w:w="567" w:type="dxa"/>
          </w:tcPr>
          <w:p w14:paraId="09474E0F" w14:textId="77777777" w:rsidR="0077513D" w:rsidRDefault="0077513D" w:rsidP="0077513D">
            <w:pPr>
              <w:spacing w:beforeLines="20" w:before="48"/>
              <w:jc w:val="center"/>
            </w:pPr>
            <w:r w:rsidRPr="009E561B">
              <w:sym w:font="Wingdings 2" w:char="F099"/>
            </w:r>
          </w:p>
        </w:tc>
        <w:tc>
          <w:tcPr>
            <w:tcW w:w="1077" w:type="dxa"/>
          </w:tcPr>
          <w:p w14:paraId="0F8A50F2" w14:textId="77777777" w:rsidR="0077513D" w:rsidRDefault="0077513D" w:rsidP="0077513D">
            <w:pPr>
              <w:spacing w:beforeLines="20" w:before="48"/>
              <w:jc w:val="center"/>
            </w:pPr>
            <w:r w:rsidRPr="009E561B">
              <w:sym w:font="Wingdings 2" w:char="F099"/>
            </w:r>
          </w:p>
        </w:tc>
      </w:tr>
      <w:tr w:rsidR="0077513D" w:rsidRPr="000D5BEF" w14:paraId="19C25EB4" w14:textId="77777777" w:rsidTr="0077513D">
        <w:trPr>
          <w:cnfStyle w:val="000000100000" w:firstRow="0" w:lastRow="0" w:firstColumn="0" w:lastColumn="0" w:oddVBand="0" w:evenVBand="0" w:oddHBand="1" w:evenHBand="0" w:firstRowFirstColumn="0" w:firstRowLastColumn="0" w:lastRowFirstColumn="0" w:lastRowLastColumn="0"/>
          <w:cantSplit/>
        </w:trPr>
        <w:tc>
          <w:tcPr>
            <w:tcW w:w="4644" w:type="dxa"/>
          </w:tcPr>
          <w:p w14:paraId="42800A42" w14:textId="77777777" w:rsidR="0077513D" w:rsidRPr="000D5BEF" w:rsidRDefault="0077513D" w:rsidP="0077513D">
            <w:pPr>
              <w:spacing w:beforeLines="20" w:before="48"/>
            </w:pPr>
            <w:r w:rsidRPr="000D5BEF">
              <w:t xml:space="preserve">Working together on biosecurity results in improved outcomes for my sector / area of interest </w:t>
            </w:r>
          </w:p>
        </w:tc>
        <w:tc>
          <w:tcPr>
            <w:tcW w:w="1077" w:type="dxa"/>
          </w:tcPr>
          <w:p w14:paraId="451655ED" w14:textId="77777777" w:rsidR="0077513D" w:rsidRDefault="0077513D" w:rsidP="0077513D">
            <w:pPr>
              <w:spacing w:beforeLines="20" w:before="48"/>
              <w:jc w:val="center"/>
            </w:pPr>
            <w:r w:rsidRPr="009E561B">
              <w:sym w:font="Wingdings 2" w:char="F099"/>
            </w:r>
          </w:p>
        </w:tc>
        <w:tc>
          <w:tcPr>
            <w:tcW w:w="567" w:type="dxa"/>
          </w:tcPr>
          <w:p w14:paraId="04EB37AC" w14:textId="77777777" w:rsidR="0077513D" w:rsidRDefault="0077513D" w:rsidP="0077513D">
            <w:pPr>
              <w:spacing w:beforeLines="20" w:before="48"/>
              <w:jc w:val="center"/>
            </w:pPr>
            <w:r w:rsidRPr="009E561B">
              <w:sym w:font="Wingdings 2" w:char="F099"/>
            </w:r>
          </w:p>
        </w:tc>
        <w:tc>
          <w:tcPr>
            <w:tcW w:w="567" w:type="dxa"/>
          </w:tcPr>
          <w:p w14:paraId="4EC37B67" w14:textId="77777777" w:rsidR="0077513D" w:rsidRDefault="0077513D" w:rsidP="0077513D">
            <w:pPr>
              <w:spacing w:beforeLines="20" w:before="48"/>
              <w:jc w:val="center"/>
            </w:pPr>
            <w:r w:rsidRPr="009E561B">
              <w:sym w:font="Wingdings 2" w:char="F099"/>
            </w:r>
          </w:p>
        </w:tc>
        <w:tc>
          <w:tcPr>
            <w:tcW w:w="1060" w:type="dxa"/>
          </w:tcPr>
          <w:p w14:paraId="3C6207EB" w14:textId="77777777" w:rsidR="0077513D" w:rsidRDefault="0077513D" w:rsidP="0077513D">
            <w:pPr>
              <w:spacing w:beforeLines="20" w:before="48"/>
              <w:jc w:val="center"/>
            </w:pPr>
            <w:r w:rsidRPr="009E561B">
              <w:sym w:font="Wingdings 2" w:char="F099"/>
            </w:r>
          </w:p>
        </w:tc>
        <w:tc>
          <w:tcPr>
            <w:tcW w:w="567" w:type="dxa"/>
          </w:tcPr>
          <w:p w14:paraId="17D6929F" w14:textId="77777777" w:rsidR="0077513D" w:rsidRDefault="0077513D" w:rsidP="0077513D">
            <w:pPr>
              <w:spacing w:beforeLines="20" w:before="48"/>
              <w:jc w:val="center"/>
            </w:pPr>
            <w:r w:rsidRPr="009E561B">
              <w:sym w:font="Wingdings 2" w:char="F099"/>
            </w:r>
          </w:p>
        </w:tc>
        <w:tc>
          <w:tcPr>
            <w:tcW w:w="567" w:type="dxa"/>
          </w:tcPr>
          <w:p w14:paraId="1DC3A5D8" w14:textId="77777777" w:rsidR="0077513D" w:rsidRDefault="0077513D" w:rsidP="0077513D">
            <w:pPr>
              <w:spacing w:beforeLines="20" w:before="48"/>
              <w:jc w:val="center"/>
            </w:pPr>
            <w:r w:rsidRPr="009E561B">
              <w:sym w:font="Wingdings 2" w:char="F099"/>
            </w:r>
          </w:p>
        </w:tc>
        <w:tc>
          <w:tcPr>
            <w:tcW w:w="1077" w:type="dxa"/>
          </w:tcPr>
          <w:p w14:paraId="75BE1F44" w14:textId="77777777" w:rsidR="0077513D" w:rsidRDefault="0077513D" w:rsidP="0077513D">
            <w:pPr>
              <w:spacing w:beforeLines="20" w:before="48"/>
              <w:jc w:val="center"/>
            </w:pPr>
            <w:r w:rsidRPr="009E561B">
              <w:sym w:font="Wingdings 2" w:char="F099"/>
            </w:r>
          </w:p>
        </w:tc>
      </w:tr>
      <w:tr w:rsidR="0077513D" w:rsidRPr="000D5BEF" w14:paraId="23DFA26B" w14:textId="77777777" w:rsidTr="0077513D">
        <w:trPr>
          <w:cantSplit/>
        </w:trPr>
        <w:tc>
          <w:tcPr>
            <w:tcW w:w="4644" w:type="dxa"/>
          </w:tcPr>
          <w:p w14:paraId="50B7E18D" w14:textId="77777777" w:rsidR="0077513D" w:rsidRPr="000D5BEF" w:rsidRDefault="0077513D" w:rsidP="0077513D">
            <w:pPr>
              <w:spacing w:beforeLines="20" w:before="48"/>
            </w:pPr>
            <w:r w:rsidRPr="000D5BEF">
              <w:t xml:space="preserve">Those impacted by pests, weeds and diseases should have the opportunity to be involved in decisions about the biosecurity issues affecting them </w:t>
            </w:r>
          </w:p>
        </w:tc>
        <w:tc>
          <w:tcPr>
            <w:tcW w:w="1077" w:type="dxa"/>
          </w:tcPr>
          <w:p w14:paraId="3954C6F9" w14:textId="77777777" w:rsidR="0077513D" w:rsidRDefault="0077513D" w:rsidP="0077513D">
            <w:pPr>
              <w:spacing w:beforeLines="20" w:before="48"/>
              <w:jc w:val="center"/>
            </w:pPr>
            <w:r w:rsidRPr="009E561B">
              <w:sym w:font="Wingdings 2" w:char="F099"/>
            </w:r>
          </w:p>
        </w:tc>
        <w:tc>
          <w:tcPr>
            <w:tcW w:w="567" w:type="dxa"/>
          </w:tcPr>
          <w:p w14:paraId="046215C1" w14:textId="77777777" w:rsidR="0077513D" w:rsidRDefault="0077513D" w:rsidP="0077513D">
            <w:pPr>
              <w:spacing w:beforeLines="20" w:before="48"/>
              <w:jc w:val="center"/>
            </w:pPr>
            <w:r w:rsidRPr="009E561B">
              <w:sym w:font="Wingdings 2" w:char="F099"/>
            </w:r>
          </w:p>
        </w:tc>
        <w:tc>
          <w:tcPr>
            <w:tcW w:w="567" w:type="dxa"/>
          </w:tcPr>
          <w:p w14:paraId="41E931AE" w14:textId="77777777" w:rsidR="0077513D" w:rsidRDefault="0077513D" w:rsidP="0077513D">
            <w:pPr>
              <w:spacing w:beforeLines="20" w:before="48"/>
              <w:jc w:val="center"/>
            </w:pPr>
            <w:r w:rsidRPr="009E561B">
              <w:sym w:font="Wingdings 2" w:char="F099"/>
            </w:r>
          </w:p>
        </w:tc>
        <w:tc>
          <w:tcPr>
            <w:tcW w:w="1060" w:type="dxa"/>
          </w:tcPr>
          <w:p w14:paraId="2A23AC44" w14:textId="77777777" w:rsidR="0077513D" w:rsidRDefault="0077513D" w:rsidP="0077513D">
            <w:pPr>
              <w:spacing w:beforeLines="20" w:before="48"/>
              <w:jc w:val="center"/>
            </w:pPr>
            <w:r w:rsidRPr="009E561B">
              <w:sym w:font="Wingdings 2" w:char="F099"/>
            </w:r>
          </w:p>
        </w:tc>
        <w:tc>
          <w:tcPr>
            <w:tcW w:w="567" w:type="dxa"/>
          </w:tcPr>
          <w:p w14:paraId="35946E31" w14:textId="77777777" w:rsidR="0077513D" w:rsidRDefault="0077513D" w:rsidP="0077513D">
            <w:pPr>
              <w:spacing w:beforeLines="20" w:before="48"/>
              <w:jc w:val="center"/>
            </w:pPr>
            <w:r w:rsidRPr="009E561B">
              <w:sym w:font="Wingdings 2" w:char="F099"/>
            </w:r>
          </w:p>
        </w:tc>
        <w:tc>
          <w:tcPr>
            <w:tcW w:w="567" w:type="dxa"/>
          </w:tcPr>
          <w:p w14:paraId="1A541E34" w14:textId="77777777" w:rsidR="0077513D" w:rsidRDefault="0077513D" w:rsidP="0077513D">
            <w:pPr>
              <w:spacing w:beforeLines="20" w:before="48"/>
              <w:jc w:val="center"/>
            </w:pPr>
            <w:r w:rsidRPr="009E561B">
              <w:sym w:font="Wingdings 2" w:char="F099"/>
            </w:r>
          </w:p>
        </w:tc>
        <w:tc>
          <w:tcPr>
            <w:tcW w:w="1077" w:type="dxa"/>
          </w:tcPr>
          <w:p w14:paraId="2817608C" w14:textId="77777777" w:rsidR="0077513D" w:rsidRDefault="0077513D" w:rsidP="0077513D">
            <w:pPr>
              <w:spacing w:beforeLines="20" w:before="48"/>
              <w:jc w:val="center"/>
            </w:pPr>
            <w:r w:rsidRPr="009E561B">
              <w:sym w:font="Wingdings 2" w:char="F099"/>
            </w:r>
          </w:p>
        </w:tc>
      </w:tr>
      <w:tr w:rsidR="0077513D" w:rsidRPr="000D5BEF" w14:paraId="03B6CB73" w14:textId="77777777" w:rsidTr="0077513D">
        <w:trPr>
          <w:cnfStyle w:val="000000100000" w:firstRow="0" w:lastRow="0" w:firstColumn="0" w:lastColumn="0" w:oddVBand="0" w:evenVBand="0" w:oddHBand="1" w:evenHBand="0" w:firstRowFirstColumn="0" w:firstRowLastColumn="0" w:lastRowFirstColumn="0" w:lastRowLastColumn="0"/>
          <w:cantSplit/>
        </w:trPr>
        <w:tc>
          <w:tcPr>
            <w:tcW w:w="4644" w:type="dxa"/>
          </w:tcPr>
          <w:p w14:paraId="5566A841" w14:textId="77777777" w:rsidR="0077513D" w:rsidRPr="000D5BEF" w:rsidRDefault="0077513D" w:rsidP="0077513D">
            <w:pPr>
              <w:spacing w:beforeLines="20" w:before="48"/>
            </w:pPr>
            <w:r w:rsidRPr="000D5BEF">
              <w:t xml:space="preserve">Those whose activities are a risk to Western Australia’s biosecurity should contribute to the costs of minimising the risk </w:t>
            </w:r>
          </w:p>
        </w:tc>
        <w:tc>
          <w:tcPr>
            <w:tcW w:w="1077" w:type="dxa"/>
          </w:tcPr>
          <w:p w14:paraId="5E51A718" w14:textId="77777777" w:rsidR="0077513D" w:rsidRDefault="0077513D" w:rsidP="0077513D">
            <w:pPr>
              <w:spacing w:beforeLines="20" w:before="48"/>
              <w:jc w:val="center"/>
            </w:pPr>
            <w:r w:rsidRPr="009E561B">
              <w:sym w:font="Wingdings 2" w:char="F099"/>
            </w:r>
          </w:p>
        </w:tc>
        <w:tc>
          <w:tcPr>
            <w:tcW w:w="567" w:type="dxa"/>
          </w:tcPr>
          <w:p w14:paraId="7D84299E" w14:textId="77777777" w:rsidR="0077513D" w:rsidRDefault="0077513D" w:rsidP="0077513D">
            <w:pPr>
              <w:spacing w:beforeLines="20" w:before="48"/>
              <w:jc w:val="center"/>
            </w:pPr>
            <w:r w:rsidRPr="009E561B">
              <w:sym w:font="Wingdings 2" w:char="F099"/>
            </w:r>
          </w:p>
        </w:tc>
        <w:tc>
          <w:tcPr>
            <w:tcW w:w="567" w:type="dxa"/>
          </w:tcPr>
          <w:p w14:paraId="523D93CC" w14:textId="77777777" w:rsidR="0077513D" w:rsidRDefault="0077513D" w:rsidP="0077513D">
            <w:pPr>
              <w:spacing w:beforeLines="20" w:before="48"/>
              <w:jc w:val="center"/>
            </w:pPr>
            <w:r w:rsidRPr="009E561B">
              <w:sym w:font="Wingdings 2" w:char="F099"/>
            </w:r>
          </w:p>
        </w:tc>
        <w:tc>
          <w:tcPr>
            <w:tcW w:w="1060" w:type="dxa"/>
          </w:tcPr>
          <w:p w14:paraId="1F5BEDA0" w14:textId="77777777" w:rsidR="0077513D" w:rsidRDefault="0077513D" w:rsidP="0077513D">
            <w:pPr>
              <w:spacing w:beforeLines="20" w:before="48"/>
              <w:jc w:val="center"/>
            </w:pPr>
            <w:r w:rsidRPr="009E561B">
              <w:sym w:font="Wingdings 2" w:char="F099"/>
            </w:r>
          </w:p>
        </w:tc>
        <w:tc>
          <w:tcPr>
            <w:tcW w:w="567" w:type="dxa"/>
          </w:tcPr>
          <w:p w14:paraId="24B7D7E9" w14:textId="77777777" w:rsidR="0077513D" w:rsidRDefault="0077513D" w:rsidP="0077513D">
            <w:pPr>
              <w:spacing w:beforeLines="20" w:before="48"/>
              <w:jc w:val="center"/>
            </w:pPr>
            <w:r w:rsidRPr="009E561B">
              <w:sym w:font="Wingdings 2" w:char="F099"/>
            </w:r>
          </w:p>
        </w:tc>
        <w:tc>
          <w:tcPr>
            <w:tcW w:w="567" w:type="dxa"/>
          </w:tcPr>
          <w:p w14:paraId="3BE2D5BE" w14:textId="77777777" w:rsidR="0077513D" w:rsidRDefault="0077513D" w:rsidP="0077513D">
            <w:pPr>
              <w:spacing w:beforeLines="20" w:before="48"/>
              <w:jc w:val="center"/>
            </w:pPr>
            <w:r w:rsidRPr="009E561B">
              <w:sym w:font="Wingdings 2" w:char="F099"/>
            </w:r>
          </w:p>
        </w:tc>
        <w:tc>
          <w:tcPr>
            <w:tcW w:w="1077" w:type="dxa"/>
          </w:tcPr>
          <w:p w14:paraId="082EBA89" w14:textId="77777777" w:rsidR="0077513D" w:rsidRDefault="0077513D" w:rsidP="0077513D">
            <w:pPr>
              <w:spacing w:beforeLines="20" w:before="48"/>
              <w:jc w:val="center"/>
            </w:pPr>
            <w:r w:rsidRPr="009E561B">
              <w:sym w:font="Wingdings 2" w:char="F099"/>
            </w:r>
          </w:p>
        </w:tc>
      </w:tr>
      <w:tr w:rsidR="0077513D" w:rsidRPr="000D5BEF" w14:paraId="7397C906" w14:textId="77777777" w:rsidTr="0077513D">
        <w:trPr>
          <w:cantSplit/>
        </w:trPr>
        <w:tc>
          <w:tcPr>
            <w:tcW w:w="4644" w:type="dxa"/>
          </w:tcPr>
          <w:p w14:paraId="16A7BEAA" w14:textId="77777777" w:rsidR="0077513D" w:rsidRPr="000D5BEF" w:rsidRDefault="0077513D" w:rsidP="0077513D">
            <w:pPr>
              <w:spacing w:beforeLines="20" w:before="48"/>
            </w:pPr>
            <w:r w:rsidRPr="000D5BEF">
              <w:t xml:space="preserve">Those who benefit from biosecurity programs should contribute to the costs </w:t>
            </w:r>
          </w:p>
        </w:tc>
        <w:tc>
          <w:tcPr>
            <w:tcW w:w="1077" w:type="dxa"/>
          </w:tcPr>
          <w:p w14:paraId="3C4A48F7" w14:textId="77777777" w:rsidR="0077513D" w:rsidRDefault="0077513D" w:rsidP="0077513D">
            <w:pPr>
              <w:spacing w:beforeLines="20" w:before="48"/>
              <w:jc w:val="center"/>
            </w:pPr>
            <w:r w:rsidRPr="009E561B">
              <w:sym w:font="Wingdings 2" w:char="F099"/>
            </w:r>
          </w:p>
        </w:tc>
        <w:tc>
          <w:tcPr>
            <w:tcW w:w="567" w:type="dxa"/>
          </w:tcPr>
          <w:p w14:paraId="08DDF0F8" w14:textId="77777777" w:rsidR="0077513D" w:rsidRDefault="0077513D" w:rsidP="0077513D">
            <w:pPr>
              <w:spacing w:beforeLines="20" w:before="48"/>
              <w:jc w:val="center"/>
            </w:pPr>
            <w:r w:rsidRPr="009E561B">
              <w:sym w:font="Wingdings 2" w:char="F099"/>
            </w:r>
          </w:p>
        </w:tc>
        <w:tc>
          <w:tcPr>
            <w:tcW w:w="567" w:type="dxa"/>
          </w:tcPr>
          <w:p w14:paraId="45720747" w14:textId="77777777" w:rsidR="0077513D" w:rsidRDefault="0077513D" w:rsidP="0077513D">
            <w:pPr>
              <w:spacing w:beforeLines="20" w:before="48"/>
              <w:jc w:val="center"/>
            </w:pPr>
            <w:r w:rsidRPr="009E561B">
              <w:sym w:font="Wingdings 2" w:char="F099"/>
            </w:r>
          </w:p>
        </w:tc>
        <w:tc>
          <w:tcPr>
            <w:tcW w:w="1060" w:type="dxa"/>
          </w:tcPr>
          <w:p w14:paraId="428DF693" w14:textId="77777777" w:rsidR="0077513D" w:rsidRDefault="0077513D" w:rsidP="0077513D">
            <w:pPr>
              <w:spacing w:beforeLines="20" w:before="48"/>
              <w:jc w:val="center"/>
            </w:pPr>
            <w:r w:rsidRPr="009E561B">
              <w:sym w:font="Wingdings 2" w:char="F099"/>
            </w:r>
          </w:p>
        </w:tc>
        <w:tc>
          <w:tcPr>
            <w:tcW w:w="567" w:type="dxa"/>
          </w:tcPr>
          <w:p w14:paraId="5B393FB1" w14:textId="77777777" w:rsidR="0077513D" w:rsidRDefault="0077513D" w:rsidP="0077513D">
            <w:pPr>
              <w:spacing w:beforeLines="20" w:before="48"/>
              <w:jc w:val="center"/>
            </w:pPr>
            <w:r w:rsidRPr="009E561B">
              <w:sym w:font="Wingdings 2" w:char="F099"/>
            </w:r>
          </w:p>
        </w:tc>
        <w:tc>
          <w:tcPr>
            <w:tcW w:w="567" w:type="dxa"/>
          </w:tcPr>
          <w:p w14:paraId="3E4D3E6B" w14:textId="77777777" w:rsidR="0077513D" w:rsidRDefault="0077513D" w:rsidP="0077513D">
            <w:pPr>
              <w:spacing w:beforeLines="20" w:before="48"/>
              <w:jc w:val="center"/>
            </w:pPr>
            <w:r w:rsidRPr="009E561B">
              <w:sym w:font="Wingdings 2" w:char="F099"/>
            </w:r>
          </w:p>
        </w:tc>
        <w:tc>
          <w:tcPr>
            <w:tcW w:w="1077" w:type="dxa"/>
          </w:tcPr>
          <w:p w14:paraId="346075E6" w14:textId="77777777" w:rsidR="0077513D" w:rsidRDefault="0077513D" w:rsidP="0077513D">
            <w:pPr>
              <w:spacing w:beforeLines="20" w:before="48"/>
              <w:jc w:val="center"/>
            </w:pPr>
            <w:r w:rsidRPr="009E561B">
              <w:sym w:font="Wingdings 2" w:char="F099"/>
            </w:r>
          </w:p>
        </w:tc>
      </w:tr>
      <w:tr w:rsidR="0077513D" w:rsidRPr="000D5BEF" w14:paraId="5FFFDD7D" w14:textId="77777777" w:rsidTr="0077513D">
        <w:trPr>
          <w:cnfStyle w:val="000000100000" w:firstRow="0" w:lastRow="0" w:firstColumn="0" w:lastColumn="0" w:oddVBand="0" w:evenVBand="0" w:oddHBand="1" w:evenHBand="0" w:firstRowFirstColumn="0" w:firstRowLastColumn="0" w:lastRowFirstColumn="0" w:lastRowLastColumn="0"/>
          <w:cantSplit/>
        </w:trPr>
        <w:tc>
          <w:tcPr>
            <w:tcW w:w="4644" w:type="dxa"/>
          </w:tcPr>
          <w:p w14:paraId="2107EE88" w14:textId="77777777" w:rsidR="0077513D" w:rsidRPr="000D5BEF" w:rsidRDefault="0077513D" w:rsidP="0077513D">
            <w:pPr>
              <w:spacing w:beforeLines="20" w:before="48"/>
            </w:pPr>
            <w:r w:rsidRPr="000D5BEF">
              <w:t xml:space="preserve">The main focus of the State government, in terms of biosecurity, should be prevention, early detection and early eradication </w:t>
            </w:r>
          </w:p>
        </w:tc>
        <w:tc>
          <w:tcPr>
            <w:tcW w:w="1077" w:type="dxa"/>
          </w:tcPr>
          <w:p w14:paraId="48569AEB" w14:textId="77777777" w:rsidR="0077513D" w:rsidRDefault="0077513D" w:rsidP="0077513D">
            <w:pPr>
              <w:spacing w:beforeLines="20" w:before="48"/>
              <w:jc w:val="center"/>
            </w:pPr>
            <w:r w:rsidRPr="009E561B">
              <w:sym w:font="Wingdings 2" w:char="F099"/>
            </w:r>
          </w:p>
        </w:tc>
        <w:tc>
          <w:tcPr>
            <w:tcW w:w="567" w:type="dxa"/>
          </w:tcPr>
          <w:p w14:paraId="3D81F619" w14:textId="77777777" w:rsidR="0077513D" w:rsidRDefault="0077513D" w:rsidP="0077513D">
            <w:pPr>
              <w:spacing w:beforeLines="20" w:before="48"/>
              <w:jc w:val="center"/>
            </w:pPr>
            <w:r w:rsidRPr="009E561B">
              <w:sym w:font="Wingdings 2" w:char="F099"/>
            </w:r>
          </w:p>
        </w:tc>
        <w:tc>
          <w:tcPr>
            <w:tcW w:w="567" w:type="dxa"/>
          </w:tcPr>
          <w:p w14:paraId="3DCAF6EC" w14:textId="77777777" w:rsidR="0077513D" w:rsidRDefault="0077513D" w:rsidP="0077513D">
            <w:pPr>
              <w:spacing w:beforeLines="20" w:before="48"/>
              <w:jc w:val="center"/>
            </w:pPr>
            <w:r w:rsidRPr="009E561B">
              <w:sym w:font="Wingdings 2" w:char="F099"/>
            </w:r>
          </w:p>
        </w:tc>
        <w:tc>
          <w:tcPr>
            <w:tcW w:w="1060" w:type="dxa"/>
          </w:tcPr>
          <w:p w14:paraId="2E6F8D68" w14:textId="77777777" w:rsidR="0077513D" w:rsidRDefault="0077513D" w:rsidP="0077513D">
            <w:pPr>
              <w:spacing w:beforeLines="20" w:before="48"/>
              <w:jc w:val="center"/>
            </w:pPr>
            <w:r w:rsidRPr="009E561B">
              <w:sym w:font="Wingdings 2" w:char="F099"/>
            </w:r>
          </w:p>
        </w:tc>
        <w:tc>
          <w:tcPr>
            <w:tcW w:w="567" w:type="dxa"/>
          </w:tcPr>
          <w:p w14:paraId="0890A82D" w14:textId="77777777" w:rsidR="0077513D" w:rsidRDefault="0077513D" w:rsidP="0077513D">
            <w:pPr>
              <w:spacing w:beforeLines="20" w:before="48"/>
              <w:jc w:val="center"/>
            </w:pPr>
            <w:r w:rsidRPr="009E561B">
              <w:sym w:font="Wingdings 2" w:char="F099"/>
            </w:r>
          </w:p>
        </w:tc>
        <w:tc>
          <w:tcPr>
            <w:tcW w:w="567" w:type="dxa"/>
          </w:tcPr>
          <w:p w14:paraId="30906E36" w14:textId="77777777" w:rsidR="0077513D" w:rsidRDefault="0077513D" w:rsidP="0077513D">
            <w:pPr>
              <w:spacing w:beforeLines="20" w:before="48"/>
              <w:jc w:val="center"/>
            </w:pPr>
            <w:r w:rsidRPr="009E561B">
              <w:sym w:font="Wingdings 2" w:char="F099"/>
            </w:r>
          </w:p>
        </w:tc>
        <w:tc>
          <w:tcPr>
            <w:tcW w:w="1077" w:type="dxa"/>
          </w:tcPr>
          <w:p w14:paraId="2FE0D95F" w14:textId="77777777" w:rsidR="0077513D" w:rsidRDefault="0077513D" w:rsidP="0077513D">
            <w:pPr>
              <w:spacing w:beforeLines="20" w:before="48"/>
              <w:jc w:val="center"/>
            </w:pPr>
            <w:r w:rsidRPr="009E561B">
              <w:sym w:font="Wingdings 2" w:char="F099"/>
            </w:r>
          </w:p>
        </w:tc>
      </w:tr>
    </w:tbl>
    <w:p w14:paraId="75E0E54A" w14:textId="77777777" w:rsidR="0077513D" w:rsidRDefault="0077513D" w:rsidP="0077513D"/>
    <w:p w14:paraId="4FC942C4" w14:textId="77777777" w:rsidR="0077513D" w:rsidRDefault="0077513D" w:rsidP="0077513D">
      <w:r w:rsidRPr="00017CA6">
        <w:t xml:space="preserve">Comments </w:t>
      </w:r>
    </w:p>
    <w:tbl>
      <w:tblPr>
        <w:tblStyle w:val="TableGrid"/>
        <w:tblW w:w="10598" w:type="dxa"/>
        <w:tblLook w:val="04A0" w:firstRow="1" w:lastRow="0" w:firstColumn="1" w:lastColumn="0" w:noHBand="0" w:noVBand="1"/>
        <w:tblDescription w:val="Question 8 - Comments box"/>
      </w:tblPr>
      <w:tblGrid>
        <w:gridCol w:w="10598"/>
      </w:tblGrid>
      <w:tr w:rsidR="0077513D" w14:paraId="35F905E9" w14:textId="77777777" w:rsidTr="0077513D">
        <w:trPr>
          <w:cantSplit/>
          <w:trHeight w:val="1555"/>
          <w:tblHeader/>
        </w:trPr>
        <w:tc>
          <w:tcPr>
            <w:tcW w:w="10598" w:type="dxa"/>
            <w:tcBorders>
              <w:top w:val="nil"/>
              <w:left w:val="nil"/>
              <w:bottom w:val="nil"/>
              <w:right w:val="nil"/>
            </w:tcBorders>
            <w:shd w:val="clear" w:color="auto" w:fill="EEECE1" w:themeFill="background2"/>
          </w:tcPr>
          <w:p w14:paraId="77132ED8" w14:textId="77777777" w:rsidR="0077513D" w:rsidRDefault="0077513D" w:rsidP="0077513D"/>
        </w:tc>
      </w:tr>
    </w:tbl>
    <w:p w14:paraId="2D6495C9" w14:textId="77777777" w:rsidR="0077513D" w:rsidRDefault="0077513D" w:rsidP="0077513D"/>
    <w:p w14:paraId="06D30735" w14:textId="77777777" w:rsidR="0077513D" w:rsidRDefault="0077513D" w:rsidP="0077513D">
      <w:pPr>
        <w:pStyle w:val="question"/>
      </w:pPr>
    </w:p>
    <w:p w14:paraId="68C81ECB" w14:textId="77777777" w:rsidR="0077513D" w:rsidRDefault="0077513D">
      <w:pPr>
        <w:spacing w:after="200" w:line="276" w:lineRule="auto"/>
        <w:rPr>
          <w:b/>
          <w:color w:val="000000" w:themeColor="text1"/>
          <w:sz w:val="24"/>
          <w:szCs w:val="24"/>
        </w:rPr>
      </w:pPr>
      <w:r>
        <w:br w:type="page"/>
      </w:r>
    </w:p>
    <w:p w14:paraId="605247D5" w14:textId="77777777" w:rsidR="0077513D" w:rsidRDefault="0077513D" w:rsidP="0077513D">
      <w:pPr>
        <w:pStyle w:val="question"/>
      </w:pPr>
      <w:r w:rsidRPr="00017CA6">
        <w:lastRenderedPageBreak/>
        <w:t xml:space="preserve">9. </w:t>
      </w:r>
      <w:r>
        <w:tab/>
      </w:r>
      <w:r w:rsidRPr="00017CA6">
        <w:t xml:space="preserve">The following statements relate to possible principles to guide biosecurity education and awareness. Please provide your agreement or disagreement with each </w:t>
      </w:r>
    </w:p>
    <w:tbl>
      <w:tblPr>
        <w:tblStyle w:val="Style1"/>
        <w:tblW w:w="10546" w:type="dxa"/>
        <w:tblLook w:val="04A0" w:firstRow="1" w:lastRow="0" w:firstColumn="1" w:lastColumn="0" w:noHBand="0" w:noVBand="1"/>
        <w:tblDescription w:val="Question 9 - Set ofstatements regarding biosecurity education and training"/>
      </w:tblPr>
      <w:tblGrid>
        <w:gridCol w:w="4820"/>
        <w:gridCol w:w="1119"/>
        <w:gridCol w:w="588"/>
        <w:gridCol w:w="588"/>
        <w:gridCol w:w="1118"/>
        <w:gridCol w:w="588"/>
        <w:gridCol w:w="588"/>
        <w:gridCol w:w="1137"/>
      </w:tblGrid>
      <w:tr w:rsidR="0077513D" w:rsidRPr="003C1B44" w14:paraId="0D270F22" w14:textId="77777777" w:rsidTr="0077513D">
        <w:trPr>
          <w:cnfStyle w:val="100000000000" w:firstRow="1" w:lastRow="0" w:firstColumn="0" w:lastColumn="0" w:oddVBand="0" w:evenVBand="0" w:oddHBand="0" w:evenHBand="0" w:firstRowFirstColumn="0" w:firstRowLastColumn="0" w:lastRowFirstColumn="0" w:lastRowLastColumn="0"/>
        </w:trPr>
        <w:tc>
          <w:tcPr>
            <w:tcW w:w="4644" w:type="dxa"/>
          </w:tcPr>
          <w:p w14:paraId="4F9A9A68" w14:textId="77777777" w:rsidR="0077513D" w:rsidRPr="000D5BEF" w:rsidRDefault="0077513D" w:rsidP="0077513D">
            <w:pPr>
              <w:spacing w:beforeLines="20" w:before="48" w:line="240" w:lineRule="auto"/>
              <w:jc w:val="center"/>
            </w:pPr>
          </w:p>
        </w:tc>
        <w:tc>
          <w:tcPr>
            <w:tcW w:w="1077" w:type="dxa"/>
          </w:tcPr>
          <w:p w14:paraId="7922746D" w14:textId="77777777" w:rsidR="0077513D" w:rsidRPr="0014238B" w:rsidRDefault="0077513D" w:rsidP="0077513D">
            <w:pPr>
              <w:spacing w:beforeLines="20" w:before="48" w:line="240" w:lineRule="auto"/>
              <w:jc w:val="center"/>
              <w:rPr>
                <w:rFonts w:cs="Arial"/>
                <w:color w:val="231F20"/>
              </w:rPr>
            </w:pPr>
            <w:r w:rsidRPr="000D5BEF">
              <w:rPr>
                <w:rFonts w:cs="Arial"/>
                <w:color w:val="231F20"/>
              </w:rPr>
              <w:t>1 strongly</w:t>
            </w:r>
            <w:r>
              <w:rPr>
                <w:rFonts w:cs="Arial"/>
                <w:color w:val="231F20"/>
              </w:rPr>
              <w:t xml:space="preserve"> </w:t>
            </w:r>
            <w:r w:rsidRPr="000D5BEF">
              <w:t>disagree</w:t>
            </w:r>
          </w:p>
        </w:tc>
        <w:tc>
          <w:tcPr>
            <w:tcW w:w="567" w:type="dxa"/>
          </w:tcPr>
          <w:p w14:paraId="39D961F9" w14:textId="77777777" w:rsidR="0077513D" w:rsidRPr="000D5BEF" w:rsidRDefault="0077513D" w:rsidP="0077513D">
            <w:pPr>
              <w:spacing w:beforeLines="20" w:before="48" w:line="240" w:lineRule="auto"/>
              <w:jc w:val="center"/>
            </w:pPr>
            <w:r w:rsidRPr="000D5BEF">
              <w:t>2</w:t>
            </w:r>
          </w:p>
        </w:tc>
        <w:tc>
          <w:tcPr>
            <w:tcW w:w="567" w:type="dxa"/>
          </w:tcPr>
          <w:p w14:paraId="63906858" w14:textId="77777777" w:rsidR="0077513D" w:rsidRPr="000D5BEF" w:rsidRDefault="0077513D" w:rsidP="0077513D">
            <w:pPr>
              <w:spacing w:beforeLines="20" w:before="48" w:line="240" w:lineRule="auto"/>
              <w:jc w:val="center"/>
            </w:pPr>
            <w:r w:rsidRPr="000D5BEF">
              <w:t>3</w:t>
            </w:r>
          </w:p>
        </w:tc>
        <w:tc>
          <w:tcPr>
            <w:tcW w:w="1077" w:type="dxa"/>
          </w:tcPr>
          <w:p w14:paraId="35FFDE79" w14:textId="77777777" w:rsidR="0077513D" w:rsidRPr="000D5BEF" w:rsidRDefault="0077513D" w:rsidP="0077513D">
            <w:pPr>
              <w:spacing w:beforeLines="20" w:before="48" w:line="240" w:lineRule="auto"/>
              <w:jc w:val="center"/>
            </w:pPr>
            <w:r w:rsidRPr="000D5BEF">
              <w:rPr>
                <w:rFonts w:cs="Arial"/>
                <w:color w:val="231F20"/>
              </w:rPr>
              <w:t>4</w:t>
            </w:r>
            <w:r w:rsidRPr="000D5BEF">
              <w:rPr>
                <w:rFonts w:cs="Arial"/>
                <w:color w:val="231F20"/>
              </w:rPr>
              <w:br/>
              <w:t>neither</w:t>
            </w:r>
            <w:r>
              <w:rPr>
                <w:rFonts w:cs="Arial"/>
                <w:color w:val="231F20"/>
              </w:rPr>
              <w:t xml:space="preserve"> </w:t>
            </w:r>
            <w:r w:rsidRPr="000D5BEF">
              <w:rPr>
                <w:rFonts w:cs="Arial"/>
                <w:color w:val="231F20"/>
              </w:rPr>
              <w:t>agree or</w:t>
            </w:r>
            <w:r>
              <w:rPr>
                <w:rFonts w:cs="Arial"/>
                <w:color w:val="231F20"/>
              </w:rPr>
              <w:t xml:space="preserve"> </w:t>
            </w:r>
            <w:r w:rsidRPr="000D5BEF">
              <w:t>disagree</w:t>
            </w:r>
          </w:p>
        </w:tc>
        <w:tc>
          <w:tcPr>
            <w:tcW w:w="567" w:type="dxa"/>
          </w:tcPr>
          <w:p w14:paraId="34068E04" w14:textId="77777777" w:rsidR="0077513D" w:rsidRPr="000D5BEF" w:rsidRDefault="0077513D" w:rsidP="0077513D">
            <w:pPr>
              <w:spacing w:beforeLines="20" w:before="48" w:line="240" w:lineRule="auto"/>
              <w:jc w:val="center"/>
            </w:pPr>
            <w:r w:rsidRPr="000D5BEF">
              <w:t>5</w:t>
            </w:r>
          </w:p>
        </w:tc>
        <w:tc>
          <w:tcPr>
            <w:tcW w:w="567" w:type="dxa"/>
          </w:tcPr>
          <w:p w14:paraId="7A8302EC" w14:textId="77777777" w:rsidR="0077513D" w:rsidRPr="000D5BEF" w:rsidRDefault="0077513D" w:rsidP="0077513D">
            <w:pPr>
              <w:spacing w:beforeLines="20" w:before="48" w:line="240" w:lineRule="auto"/>
              <w:jc w:val="center"/>
            </w:pPr>
            <w:r w:rsidRPr="000D5BEF">
              <w:t>6</w:t>
            </w:r>
          </w:p>
        </w:tc>
        <w:tc>
          <w:tcPr>
            <w:tcW w:w="1096" w:type="dxa"/>
          </w:tcPr>
          <w:p w14:paraId="0F13FEEA" w14:textId="77777777" w:rsidR="0077513D" w:rsidRPr="000D5BEF" w:rsidRDefault="0077513D" w:rsidP="0077513D">
            <w:pPr>
              <w:spacing w:beforeLines="20" w:before="48" w:line="240" w:lineRule="auto"/>
              <w:jc w:val="center"/>
            </w:pPr>
            <w:r w:rsidRPr="000D5BEF">
              <w:rPr>
                <w:rFonts w:cs="Arial"/>
                <w:color w:val="231F20"/>
              </w:rPr>
              <w:t>7</w:t>
            </w:r>
            <w:r w:rsidRPr="000D5BEF">
              <w:rPr>
                <w:rFonts w:cs="Arial"/>
                <w:color w:val="231F20"/>
              </w:rPr>
              <w:br/>
              <w:t>strongly</w:t>
            </w:r>
            <w:r>
              <w:rPr>
                <w:rFonts w:cs="Arial"/>
                <w:color w:val="231F20"/>
              </w:rPr>
              <w:t xml:space="preserve"> </w:t>
            </w:r>
            <w:r w:rsidRPr="000D5BEF">
              <w:t>agree</w:t>
            </w:r>
          </w:p>
        </w:tc>
      </w:tr>
      <w:tr w:rsidR="0077513D" w:rsidRPr="000769EC" w14:paraId="74C41E82" w14:textId="77777777" w:rsidTr="0077513D">
        <w:trPr>
          <w:cnfStyle w:val="000000100000" w:firstRow="0" w:lastRow="0" w:firstColumn="0" w:lastColumn="0" w:oddVBand="0" w:evenVBand="0" w:oddHBand="1" w:evenHBand="0" w:firstRowFirstColumn="0" w:firstRowLastColumn="0" w:lastRowFirstColumn="0" w:lastRowLastColumn="0"/>
        </w:trPr>
        <w:tc>
          <w:tcPr>
            <w:tcW w:w="4644" w:type="dxa"/>
          </w:tcPr>
          <w:p w14:paraId="2E7C40B4" w14:textId="77777777" w:rsidR="0077513D" w:rsidRPr="000D5BEF" w:rsidRDefault="0077513D" w:rsidP="0077513D">
            <w:pPr>
              <w:spacing w:beforeLines="20" w:before="48"/>
            </w:pPr>
            <w:r w:rsidRPr="000D5BEF">
              <w:t xml:space="preserve">It is important that WA industries are aware of biosecurity issues within the State </w:t>
            </w:r>
          </w:p>
        </w:tc>
        <w:tc>
          <w:tcPr>
            <w:tcW w:w="1077" w:type="dxa"/>
          </w:tcPr>
          <w:p w14:paraId="6FCAF974" w14:textId="77777777" w:rsidR="0077513D" w:rsidRDefault="0077513D" w:rsidP="0077513D">
            <w:pPr>
              <w:spacing w:beforeLines="20" w:before="48"/>
              <w:jc w:val="center"/>
            </w:pPr>
            <w:r w:rsidRPr="0086765A">
              <w:sym w:font="Wingdings 2" w:char="F099"/>
            </w:r>
          </w:p>
        </w:tc>
        <w:tc>
          <w:tcPr>
            <w:tcW w:w="567" w:type="dxa"/>
          </w:tcPr>
          <w:p w14:paraId="58D0BC98" w14:textId="77777777" w:rsidR="0077513D" w:rsidRDefault="0077513D" w:rsidP="0077513D">
            <w:pPr>
              <w:spacing w:beforeLines="20" w:before="48"/>
              <w:jc w:val="center"/>
            </w:pPr>
            <w:r w:rsidRPr="0086765A">
              <w:sym w:font="Wingdings 2" w:char="F099"/>
            </w:r>
          </w:p>
        </w:tc>
        <w:tc>
          <w:tcPr>
            <w:tcW w:w="567" w:type="dxa"/>
          </w:tcPr>
          <w:p w14:paraId="5ADFEAF5" w14:textId="77777777" w:rsidR="0077513D" w:rsidRDefault="0077513D" w:rsidP="0077513D">
            <w:pPr>
              <w:spacing w:beforeLines="20" w:before="48"/>
              <w:jc w:val="center"/>
            </w:pPr>
            <w:r w:rsidRPr="0086765A">
              <w:sym w:font="Wingdings 2" w:char="F099"/>
            </w:r>
          </w:p>
        </w:tc>
        <w:tc>
          <w:tcPr>
            <w:tcW w:w="1077" w:type="dxa"/>
          </w:tcPr>
          <w:p w14:paraId="5B45ADBE" w14:textId="77777777" w:rsidR="0077513D" w:rsidRDefault="0077513D" w:rsidP="0077513D">
            <w:pPr>
              <w:spacing w:beforeLines="20" w:before="48"/>
              <w:jc w:val="center"/>
            </w:pPr>
            <w:r w:rsidRPr="0086765A">
              <w:sym w:font="Wingdings 2" w:char="F099"/>
            </w:r>
          </w:p>
        </w:tc>
        <w:tc>
          <w:tcPr>
            <w:tcW w:w="567" w:type="dxa"/>
          </w:tcPr>
          <w:p w14:paraId="1B272BB7" w14:textId="77777777" w:rsidR="0077513D" w:rsidRDefault="0077513D" w:rsidP="0077513D">
            <w:pPr>
              <w:spacing w:beforeLines="20" w:before="48"/>
              <w:jc w:val="center"/>
            </w:pPr>
            <w:r w:rsidRPr="0086765A">
              <w:sym w:font="Wingdings 2" w:char="F099"/>
            </w:r>
          </w:p>
        </w:tc>
        <w:tc>
          <w:tcPr>
            <w:tcW w:w="567" w:type="dxa"/>
          </w:tcPr>
          <w:p w14:paraId="48C4CF37" w14:textId="77777777" w:rsidR="0077513D" w:rsidRDefault="0077513D" w:rsidP="0077513D">
            <w:pPr>
              <w:spacing w:beforeLines="20" w:before="48"/>
              <w:jc w:val="center"/>
            </w:pPr>
            <w:r w:rsidRPr="0086765A">
              <w:sym w:font="Wingdings 2" w:char="F099"/>
            </w:r>
          </w:p>
        </w:tc>
        <w:tc>
          <w:tcPr>
            <w:tcW w:w="1096" w:type="dxa"/>
          </w:tcPr>
          <w:p w14:paraId="414E529D" w14:textId="77777777" w:rsidR="0077513D" w:rsidRDefault="0077513D" w:rsidP="0077513D">
            <w:pPr>
              <w:spacing w:beforeLines="20" w:before="48"/>
              <w:jc w:val="center"/>
            </w:pPr>
            <w:r w:rsidRPr="0086765A">
              <w:sym w:font="Wingdings 2" w:char="F099"/>
            </w:r>
          </w:p>
        </w:tc>
      </w:tr>
      <w:tr w:rsidR="0077513D" w:rsidRPr="000769EC" w14:paraId="39612688" w14:textId="77777777" w:rsidTr="0077513D">
        <w:tc>
          <w:tcPr>
            <w:tcW w:w="4644" w:type="dxa"/>
          </w:tcPr>
          <w:p w14:paraId="22D35A63" w14:textId="77777777" w:rsidR="0077513D" w:rsidRPr="000D5BEF" w:rsidRDefault="0077513D" w:rsidP="0077513D">
            <w:pPr>
              <w:spacing w:beforeLines="20" w:before="48"/>
            </w:pPr>
            <w:r w:rsidRPr="000D5BEF">
              <w:t xml:space="preserve">It is important that WA communities are aware of biosecurity issues within the State </w:t>
            </w:r>
          </w:p>
        </w:tc>
        <w:tc>
          <w:tcPr>
            <w:tcW w:w="1077" w:type="dxa"/>
          </w:tcPr>
          <w:p w14:paraId="213F56DE" w14:textId="77777777" w:rsidR="0077513D" w:rsidRDefault="0077513D" w:rsidP="0077513D">
            <w:pPr>
              <w:spacing w:beforeLines="20" w:before="48"/>
              <w:jc w:val="center"/>
            </w:pPr>
            <w:r w:rsidRPr="0086765A">
              <w:sym w:font="Wingdings 2" w:char="F099"/>
            </w:r>
          </w:p>
        </w:tc>
        <w:tc>
          <w:tcPr>
            <w:tcW w:w="567" w:type="dxa"/>
          </w:tcPr>
          <w:p w14:paraId="15F44064" w14:textId="77777777" w:rsidR="0077513D" w:rsidRDefault="0077513D" w:rsidP="0077513D">
            <w:pPr>
              <w:spacing w:beforeLines="20" w:before="48"/>
              <w:jc w:val="center"/>
            </w:pPr>
            <w:r w:rsidRPr="0086765A">
              <w:sym w:font="Wingdings 2" w:char="F099"/>
            </w:r>
          </w:p>
        </w:tc>
        <w:tc>
          <w:tcPr>
            <w:tcW w:w="567" w:type="dxa"/>
          </w:tcPr>
          <w:p w14:paraId="56570994" w14:textId="77777777" w:rsidR="0077513D" w:rsidRDefault="0077513D" w:rsidP="0077513D">
            <w:pPr>
              <w:spacing w:beforeLines="20" w:before="48"/>
              <w:jc w:val="center"/>
            </w:pPr>
            <w:r w:rsidRPr="0086765A">
              <w:sym w:font="Wingdings 2" w:char="F099"/>
            </w:r>
          </w:p>
        </w:tc>
        <w:tc>
          <w:tcPr>
            <w:tcW w:w="1077" w:type="dxa"/>
          </w:tcPr>
          <w:p w14:paraId="64175705" w14:textId="77777777" w:rsidR="0077513D" w:rsidRDefault="0077513D" w:rsidP="0077513D">
            <w:pPr>
              <w:spacing w:beforeLines="20" w:before="48"/>
              <w:jc w:val="center"/>
            </w:pPr>
            <w:r w:rsidRPr="0086765A">
              <w:sym w:font="Wingdings 2" w:char="F099"/>
            </w:r>
          </w:p>
        </w:tc>
        <w:tc>
          <w:tcPr>
            <w:tcW w:w="567" w:type="dxa"/>
          </w:tcPr>
          <w:p w14:paraId="6E723600" w14:textId="77777777" w:rsidR="0077513D" w:rsidRDefault="0077513D" w:rsidP="0077513D">
            <w:pPr>
              <w:spacing w:beforeLines="20" w:before="48"/>
              <w:jc w:val="center"/>
            </w:pPr>
            <w:r w:rsidRPr="0086765A">
              <w:sym w:font="Wingdings 2" w:char="F099"/>
            </w:r>
          </w:p>
        </w:tc>
        <w:tc>
          <w:tcPr>
            <w:tcW w:w="567" w:type="dxa"/>
          </w:tcPr>
          <w:p w14:paraId="2E8EA060" w14:textId="77777777" w:rsidR="0077513D" w:rsidRDefault="0077513D" w:rsidP="0077513D">
            <w:pPr>
              <w:spacing w:beforeLines="20" w:before="48"/>
              <w:jc w:val="center"/>
            </w:pPr>
            <w:r w:rsidRPr="0086765A">
              <w:sym w:font="Wingdings 2" w:char="F099"/>
            </w:r>
          </w:p>
        </w:tc>
        <w:tc>
          <w:tcPr>
            <w:tcW w:w="1096" w:type="dxa"/>
          </w:tcPr>
          <w:p w14:paraId="30AB5ED0" w14:textId="77777777" w:rsidR="0077513D" w:rsidRDefault="0077513D" w:rsidP="0077513D">
            <w:pPr>
              <w:spacing w:beforeLines="20" w:before="48"/>
              <w:jc w:val="center"/>
            </w:pPr>
            <w:r w:rsidRPr="0086765A">
              <w:sym w:font="Wingdings 2" w:char="F099"/>
            </w:r>
          </w:p>
        </w:tc>
      </w:tr>
      <w:tr w:rsidR="0077513D" w:rsidRPr="000769EC" w14:paraId="2333C312" w14:textId="77777777" w:rsidTr="0077513D">
        <w:trPr>
          <w:cnfStyle w:val="000000100000" w:firstRow="0" w:lastRow="0" w:firstColumn="0" w:lastColumn="0" w:oddVBand="0" w:evenVBand="0" w:oddHBand="1" w:evenHBand="0" w:firstRowFirstColumn="0" w:firstRowLastColumn="0" w:lastRowFirstColumn="0" w:lastRowLastColumn="0"/>
        </w:trPr>
        <w:tc>
          <w:tcPr>
            <w:tcW w:w="4644" w:type="dxa"/>
          </w:tcPr>
          <w:p w14:paraId="5F10087F" w14:textId="77777777" w:rsidR="0077513D" w:rsidRPr="000D5BEF" w:rsidRDefault="0077513D" w:rsidP="0077513D">
            <w:pPr>
              <w:spacing w:beforeLines="20" w:before="48"/>
            </w:pPr>
            <w:r w:rsidRPr="000D5BEF">
              <w:t xml:space="preserve">Industry groups/organisations should encourage biosecurity practices to their members </w:t>
            </w:r>
          </w:p>
        </w:tc>
        <w:tc>
          <w:tcPr>
            <w:tcW w:w="1077" w:type="dxa"/>
          </w:tcPr>
          <w:p w14:paraId="0522C8DB" w14:textId="77777777" w:rsidR="0077513D" w:rsidRDefault="0077513D" w:rsidP="0077513D">
            <w:pPr>
              <w:spacing w:beforeLines="20" w:before="48"/>
              <w:jc w:val="center"/>
            </w:pPr>
            <w:r w:rsidRPr="0086765A">
              <w:sym w:font="Wingdings 2" w:char="F099"/>
            </w:r>
          </w:p>
        </w:tc>
        <w:tc>
          <w:tcPr>
            <w:tcW w:w="567" w:type="dxa"/>
          </w:tcPr>
          <w:p w14:paraId="22802F6F" w14:textId="77777777" w:rsidR="0077513D" w:rsidRDefault="0077513D" w:rsidP="0077513D">
            <w:pPr>
              <w:spacing w:beforeLines="20" w:before="48"/>
              <w:jc w:val="center"/>
            </w:pPr>
            <w:r w:rsidRPr="0086765A">
              <w:sym w:font="Wingdings 2" w:char="F099"/>
            </w:r>
          </w:p>
        </w:tc>
        <w:tc>
          <w:tcPr>
            <w:tcW w:w="567" w:type="dxa"/>
          </w:tcPr>
          <w:p w14:paraId="2AA87FCE" w14:textId="77777777" w:rsidR="0077513D" w:rsidRDefault="0077513D" w:rsidP="0077513D">
            <w:pPr>
              <w:spacing w:beforeLines="20" w:before="48"/>
              <w:jc w:val="center"/>
            </w:pPr>
            <w:r w:rsidRPr="0086765A">
              <w:sym w:font="Wingdings 2" w:char="F099"/>
            </w:r>
          </w:p>
        </w:tc>
        <w:tc>
          <w:tcPr>
            <w:tcW w:w="1077" w:type="dxa"/>
          </w:tcPr>
          <w:p w14:paraId="1D3BCA72" w14:textId="77777777" w:rsidR="0077513D" w:rsidRDefault="0077513D" w:rsidP="0077513D">
            <w:pPr>
              <w:spacing w:beforeLines="20" w:before="48"/>
              <w:jc w:val="center"/>
            </w:pPr>
            <w:r w:rsidRPr="0086765A">
              <w:sym w:font="Wingdings 2" w:char="F099"/>
            </w:r>
          </w:p>
        </w:tc>
        <w:tc>
          <w:tcPr>
            <w:tcW w:w="567" w:type="dxa"/>
          </w:tcPr>
          <w:p w14:paraId="19D22B44" w14:textId="77777777" w:rsidR="0077513D" w:rsidRDefault="0077513D" w:rsidP="0077513D">
            <w:pPr>
              <w:spacing w:beforeLines="20" w:before="48"/>
              <w:jc w:val="center"/>
            </w:pPr>
            <w:r w:rsidRPr="0086765A">
              <w:sym w:font="Wingdings 2" w:char="F099"/>
            </w:r>
          </w:p>
        </w:tc>
        <w:tc>
          <w:tcPr>
            <w:tcW w:w="567" w:type="dxa"/>
          </w:tcPr>
          <w:p w14:paraId="2ED29DDB" w14:textId="77777777" w:rsidR="0077513D" w:rsidRDefault="0077513D" w:rsidP="0077513D">
            <w:pPr>
              <w:spacing w:beforeLines="20" w:before="48"/>
              <w:jc w:val="center"/>
            </w:pPr>
            <w:r w:rsidRPr="0086765A">
              <w:sym w:font="Wingdings 2" w:char="F099"/>
            </w:r>
          </w:p>
        </w:tc>
        <w:tc>
          <w:tcPr>
            <w:tcW w:w="1096" w:type="dxa"/>
          </w:tcPr>
          <w:p w14:paraId="60FE9F57" w14:textId="77777777" w:rsidR="0077513D" w:rsidRDefault="0077513D" w:rsidP="0077513D">
            <w:pPr>
              <w:spacing w:beforeLines="20" w:before="48"/>
              <w:jc w:val="center"/>
            </w:pPr>
            <w:r w:rsidRPr="0086765A">
              <w:sym w:font="Wingdings 2" w:char="F099"/>
            </w:r>
          </w:p>
        </w:tc>
      </w:tr>
      <w:tr w:rsidR="0077513D" w:rsidRPr="000769EC" w14:paraId="57D1D1D6" w14:textId="77777777" w:rsidTr="0077513D">
        <w:tc>
          <w:tcPr>
            <w:tcW w:w="4644" w:type="dxa"/>
          </w:tcPr>
          <w:p w14:paraId="13CF43B0" w14:textId="77777777" w:rsidR="0077513D" w:rsidRPr="000D5BEF" w:rsidRDefault="0077513D" w:rsidP="0077513D">
            <w:pPr>
              <w:spacing w:beforeLines="20" w:before="48"/>
            </w:pPr>
            <w:r w:rsidRPr="000D5BEF">
              <w:t xml:space="preserve">Industry groups/organisations should keep their members informed about pests, weeds and diseases </w:t>
            </w:r>
          </w:p>
        </w:tc>
        <w:tc>
          <w:tcPr>
            <w:tcW w:w="1077" w:type="dxa"/>
          </w:tcPr>
          <w:p w14:paraId="1164689E" w14:textId="77777777" w:rsidR="0077513D" w:rsidRDefault="0077513D" w:rsidP="0077513D">
            <w:pPr>
              <w:spacing w:beforeLines="20" w:before="48"/>
              <w:jc w:val="center"/>
            </w:pPr>
            <w:r w:rsidRPr="0086765A">
              <w:sym w:font="Wingdings 2" w:char="F099"/>
            </w:r>
          </w:p>
        </w:tc>
        <w:tc>
          <w:tcPr>
            <w:tcW w:w="567" w:type="dxa"/>
          </w:tcPr>
          <w:p w14:paraId="540E3948" w14:textId="77777777" w:rsidR="0077513D" w:rsidRDefault="0077513D" w:rsidP="0077513D">
            <w:pPr>
              <w:spacing w:beforeLines="20" w:before="48"/>
              <w:jc w:val="center"/>
            </w:pPr>
            <w:r w:rsidRPr="0086765A">
              <w:sym w:font="Wingdings 2" w:char="F099"/>
            </w:r>
          </w:p>
        </w:tc>
        <w:tc>
          <w:tcPr>
            <w:tcW w:w="567" w:type="dxa"/>
          </w:tcPr>
          <w:p w14:paraId="40B86EBA" w14:textId="77777777" w:rsidR="0077513D" w:rsidRDefault="0077513D" w:rsidP="0077513D">
            <w:pPr>
              <w:spacing w:beforeLines="20" w:before="48"/>
              <w:jc w:val="center"/>
            </w:pPr>
            <w:r w:rsidRPr="0086765A">
              <w:sym w:font="Wingdings 2" w:char="F099"/>
            </w:r>
          </w:p>
        </w:tc>
        <w:tc>
          <w:tcPr>
            <w:tcW w:w="1077" w:type="dxa"/>
          </w:tcPr>
          <w:p w14:paraId="7E7C9ACD" w14:textId="77777777" w:rsidR="0077513D" w:rsidRDefault="0077513D" w:rsidP="0077513D">
            <w:pPr>
              <w:spacing w:beforeLines="20" w:before="48"/>
              <w:jc w:val="center"/>
            </w:pPr>
            <w:r w:rsidRPr="0086765A">
              <w:sym w:font="Wingdings 2" w:char="F099"/>
            </w:r>
          </w:p>
        </w:tc>
        <w:tc>
          <w:tcPr>
            <w:tcW w:w="567" w:type="dxa"/>
          </w:tcPr>
          <w:p w14:paraId="0D4BA462" w14:textId="77777777" w:rsidR="0077513D" w:rsidRDefault="0077513D" w:rsidP="0077513D">
            <w:pPr>
              <w:spacing w:beforeLines="20" w:before="48"/>
              <w:jc w:val="center"/>
            </w:pPr>
            <w:r w:rsidRPr="0086765A">
              <w:sym w:font="Wingdings 2" w:char="F099"/>
            </w:r>
          </w:p>
        </w:tc>
        <w:tc>
          <w:tcPr>
            <w:tcW w:w="567" w:type="dxa"/>
          </w:tcPr>
          <w:p w14:paraId="29EE0B76" w14:textId="77777777" w:rsidR="0077513D" w:rsidRDefault="0077513D" w:rsidP="0077513D">
            <w:pPr>
              <w:spacing w:beforeLines="20" w:before="48"/>
              <w:jc w:val="center"/>
            </w:pPr>
            <w:r w:rsidRPr="0086765A">
              <w:sym w:font="Wingdings 2" w:char="F099"/>
            </w:r>
          </w:p>
        </w:tc>
        <w:tc>
          <w:tcPr>
            <w:tcW w:w="1096" w:type="dxa"/>
          </w:tcPr>
          <w:p w14:paraId="2C3A68C3" w14:textId="77777777" w:rsidR="0077513D" w:rsidRDefault="0077513D" w:rsidP="0077513D">
            <w:pPr>
              <w:spacing w:beforeLines="20" w:before="48"/>
              <w:jc w:val="center"/>
            </w:pPr>
            <w:r w:rsidRPr="0086765A">
              <w:sym w:font="Wingdings 2" w:char="F099"/>
            </w:r>
          </w:p>
        </w:tc>
      </w:tr>
      <w:tr w:rsidR="0077513D" w:rsidRPr="000769EC" w14:paraId="58E3B16D" w14:textId="77777777" w:rsidTr="0077513D">
        <w:trPr>
          <w:cnfStyle w:val="000000100000" w:firstRow="0" w:lastRow="0" w:firstColumn="0" w:lastColumn="0" w:oddVBand="0" w:evenVBand="0" w:oddHBand="1" w:evenHBand="0" w:firstRowFirstColumn="0" w:firstRowLastColumn="0" w:lastRowFirstColumn="0" w:lastRowLastColumn="0"/>
        </w:trPr>
        <w:tc>
          <w:tcPr>
            <w:tcW w:w="4644" w:type="dxa"/>
          </w:tcPr>
          <w:p w14:paraId="276BE625" w14:textId="77777777" w:rsidR="0077513D" w:rsidRPr="000D5BEF" w:rsidRDefault="0077513D" w:rsidP="0077513D">
            <w:pPr>
              <w:spacing w:beforeLines="20" w:before="48"/>
            </w:pPr>
            <w:r w:rsidRPr="000D5BEF">
              <w:t xml:space="preserve">Community groups/organisations should encourage biosecurity practices among their members </w:t>
            </w:r>
          </w:p>
        </w:tc>
        <w:tc>
          <w:tcPr>
            <w:tcW w:w="1077" w:type="dxa"/>
          </w:tcPr>
          <w:p w14:paraId="7168E664" w14:textId="77777777" w:rsidR="0077513D" w:rsidRDefault="0077513D" w:rsidP="0077513D">
            <w:pPr>
              <w:spacing w:beforeLines="20" w:before="48"/>
              <w:jc w:val="center"/>
            </w:pPr>
            <w:r w:rsidRPr="0086765A">
              <w:sym w:font="Wingdings 2" w:char="F099"/>
            </w:r>
          </w:p>
        </w:tc>
        <w:tc>
          <w:tcPr>
            <w:tcW w:w="567" w:type="dxa"/>
          </w:tcPr>
          <w:p w14:paraId="605B7912" w14:textId="77777777" w:rsidR="0077513D" w:rsidRDefault="0077513D" w:rsidP="0077513D">
            <w:pPr>
              <w:spacing w:beforeLines="20" w:before="48"/>
              <w:jc w:val="center"/>
            </w:pPr>
            <w:r w:rsidRPr="0086765A">
              <w:sym w:font="Wingdings 2" w:char="F099"/>
            </w:r>
          </w:p>
        </w:tc>
        <w:tc>
          <w:tcPr>
            <w:tcW w:w="567" w:type="dxa"/>
          </w:tcPr>
          <w:p w14:paraId="3040935D" w14:textId="77777777" w:rsidR="0077513D" w:rsidRDefault="0077513D" w:rsidP="0077513D">
            <w:pPr>
              <w:spacing w:beforeLines="20" w:before="48"/>
              <w:jc w:val="center"/>
            </w:pPr>
            <w:r w:rsidRPr="0086765A">
              <w:sym w:font="Wingdings 2" w:char="F099"/>
            </w:r>
          </w:p>
        </w:tc>
        <w:tc>
          <w:tcPr>
            <w:tcW w:w="1077" w:type="dxa"/>
          </w:tcPr>
          <w:p w14:paraId="386218DF" w14:textId="77777777" w:rsidR="0077513D" w:rsidRDefault="0077513D" w:rsidP="0077513D">
            <w:pPr>
              <w:spacing w:beforeLines="20" w:before="48"/>
              <w:jc w:val="center"/>
            </w:pPr>
            <w:r w:rsidRPr="0086765A">
              <w:sym w:font="Wingdings 2" w:char="F099"/>
            </w:r>
          </w:p>
        </w:tc>
        <w:tc>
          <w:tcPr>
            <w:tcW w:w="567" w:type="dxa"/>
          </w:tcPr>
          <w:p w14:paraId="266104CC" w14:textId="77777777" w:rsidR="0077513D" w:rsidRDefault="0077513D" w:rsidP="0077513D">
            <w:pPr>
              <w:spacing w:beforeLines="20" w:before="48"/>
              <w:jc w:val="center"/>
            </w:pPr>
            <w:r w:rsidRPr="0086765A">
              <w:sym w:font="Wingdings 2" w:char="F099"/>
            </w:r>
          </w:p>
        </w:tc>
        <w:tc>
          <w:tcPr>
            <w:tcW w:w="567" w:type="dxa"/>
          </w:tcPr>
          <w:p w14:paraId="7301BB28" w14:textId="77777777" w:rsidR="0077513D" w:rsidRDefault="0077513D" w:rsidP="0077513D">
            <w:pPr>
              <w:spacing w:beforeLines="20" w:before="48"/>
              <w:jc w:val="center"/>
            </w:pPr>
            <w:r w:rsidRPr="0086765A">
              <w:sym w:font="Wingdings 2" w:char="F099"/>
            </w:r>
          </w:p>
        </w:tc>
        <w:tc>
          <w:tcPr>
            <w:tcW w:w="1096" w:type="dxa"/>
          </w:tcPr>
          <w:p w14:paraId="2475DE73" w14:textId="77777777" w:rsidR="0077513D" w:rsidRDefault="0077513D" w:rsidP="0077513D">
            <w:pPr>
              <w:spacing w:beforeLines="20" w:before="48"/>
              <w:jc w:val="center"/>
            </w:pPr>
            <w:r w:rsidRPr="0086765A">
              <w:sym w:font="Wingdings 2" w:char="F099"/>
            </w:r>
          </w:p>
        </w:tc>
      </w:tr>
      <w:tr w:rsidR="0077513D" w:rsidRPr="000769EC" w14:paraId="343C202B" w14:textId="77777777" w:rsidTr="0077513D">
        <w:tc>
          <w:tcPr>
            <w:tcW w:w="4644" w:type="dxa"/>
          </w:tcPr>
          <w:p w14:paraId="321A7FA9" w14:textId="77777777" w:rsidR="0077513D" w:rsidRPr="000D5BEF" w:rsidRDefault="0077513D" w:rsidP="0077513D">
            <w:pPr>
              <w:spacing w:beforeLines="20" w:before="48"/>
            </w:pPr>
            <w:r w:rsidRPr="000D5BEF">
              <w:t xml:space="preserve">Community groups/organisations should keep their members informed about pests, weeds and diseases </w:t>
            </w:r>
          </w:p>
        </w:tc>
        <w:tc>
          <w:tcPr>
            <w:tcW w:w="1077" w:type="dxa"/>
          </w:tcPr>
          <w:p w14:paraId="3DA040CC" w14:textId="77777777" w:rsidR="0077513D" w:rsidRDefault="0077513D" w:rsidP="0077513D">
            <w:pPr>
              <w:spacing w:beforeLines="20" w:before="48"/>
              <w:jc w:val="center"/>
            </w:pPr>
            <w:r w:rsidRPr="0086765A">
              <w:sym w:font="Wingdings 2" w:char="F099"/>
            </w:r>
          </w:p>
        </w:tc>
        <w:tc>
          <w:tcPr>
            <w:tcW w:w="567" w:type="dxa"/>
          </w:tcPr>
          <w:p w14:paraId="47E2BA1C" w14:textId="77777777" w:rsidR="0077513D" w:rsidRDefault="0077513D" w:rsidP="0077513D">
            <w:pPr>
              <w:spacing w:beforeLines="20" w:before="48"/>
              <w:jc w:val="center"/>
            </w:pPr>
            <w:r w:rsidRPr="0086765A">
              <w:sym w:font="Wingdings 2" w:char="F099"/>
            </w:r>
          </w:p>
        </w:tc>
        <w:tc>
          <w:tcPr>
            <w:tcW w:w="567" w:type="dxa"/>
          </w:tcPr>
          <w:p w14:paraId="600AA281" w14:textId="77777777" w:rsidR="0077513D" w:rsidRDefault="0077513D" w:rsidP="0077513D">
            <w:pPr>
              <w:spacing w:beforeLines="20" w:before="48"/>
              <w:jc w:val="center"/>
            </w:pPr>
            <w:r w:rsidRPr="0086765A">
              <w:sym w:font="Wingdings 2" w:char="F099"/>
            </w:r>
          </w:p>
        </w:tc>
        <w:tc>
          <w:tcPr>
            <w:tcW w:w="1077" w:type="dxa"/>
          </w:tcPr>
          <w:p w14:paraId="13092301" w14:textId="77777777" w:rsidR="0077513D" w:rsidRDefault="0077513D" w:rsidP="0077513D">
            <w:pPr>
              <w:spacing w:beforeLines="20" w:before="48"/>
              <w:jc w:val="center"/>
            </w:pPr>
            <w:r w:rsidRPr="0086765A">
              <w:sym w:font="Wingdings 2" w:char="F099"/>
            </w:r>
          </w:p>
        </w:tc>
        <w:tc>
          <w:tcPr>
            <w:tcW w:w="567" w:type="dxa"/>
          </w:tcPr>
          <w:p w14:paraId="6090A5AB" w14:textId="77777777" w:rsidR="0077513D" w:rsidRDefault="0077513D" w:rsidP="0077513D">
            <w:pPr>
              <w:spacing w:beforeLines="20" w:before="48"/>
              <w:jc w:val="center"/>
            </w:pPr>
            <w:r w:rsidRPr="0086765A">
              <w:sym w:font="Wingdings 2" w:char="F099"/>
            </w:r>
          </w:p>
        </w:tc>
        <w:tc>
          <w:tcPr>
            <w:tcW w:w="567" w:type="dxa"/>
          </w:tcPr>
          <w:p w14:paraId="283075D4" w14:textId="77777777" w:rsidR="0077513D" w:rsidRDefault="0077513D" w:rsidP="0077513D">
            <w:pPr>
              <w:spacing w:beforeLines="20" w:before="48"/>
              <w:jc w:val="center"/>
            </w:pPr>
            <w:r w:rsidRPr="0086765A">
              <w:sym w:font="Wingdings 2" w:char="F099"/>
            </w:r>
          </w:p>
        </w:tc>
        <w:tc>
          <w:tcPr>
            <w:tcW w:w="1096" w:type="dxa"/>
          </w:tcPr>
          <w:p w14:paraId="6624FE49" w14:textId="77777777" w:rsidR="0077513D" w:rsidRDefault="0077513D" w:rsidP="0077513D">
            <w:pPr>
              <w:spacing w:beforeLines="20" w:before="48"/>
              <w:jc w:val="center"/>
            </w:pPr>
            <w:r w:rsidRPr="0086765A">
              <w:sym w:font="Wingdings 2" w:char="F099"/>
            </w:r>
          </w:p>
        </w:tc>
      </w:tr>
      <w:tr w:rsidR="0077513D" w:rsidRPr="000769EC" w14:paraId="1D2F2014" w14:textId="77777777" w:rsidTr="0077513D">
        <w:trPr>
          <w:cnfStyle w:val="000000100000" w:firstRow="0" w:lastRow="0" w:firstColumn="0" w:lastColumn="0" w:oddVBand="0" w:evenVBand="0" w:oddHBand="1" w:evenHBand="0" w:firstRowFirstColumn="0" w:firstRowLastColumn="0" w:lastRowFirstColumn="0" w:lastRowLastColumn="0"/>
        </w:trPr>
        <w:tc>
          <w:tcPr>
            <w:tcW w:w="4644" w:type="dxa"/>
          </w:tcPr>
          <w:p w14:paraId="01AAEFCF" w14:textId="77777777" w:rsidR="0077513D" w:rsidRPr="000D5BEF" w:rsidRDefault="0077513D" w:rsidP="0077513D">
            <w:pPr>
              <w:spacing w:beforeLines="20" w:before="48"/>
            </w:pPr>
            <w:r w:rsidRPr="000D5BEF">
              <w:t xml:space="preserve">Industry groups/organisations should undertake activities to raise awareness within the general community of biosecurity issues </w:t>
            </w:r>
          </w:p>
        </w:tc>
        <w:tc>
          <w:tcPr>
            <w:tcW w:w="1077" w:type="dxa"/>
          </w:tcPr>
          <w:p w14:paraId="15BE980B" w14:textId="77777777" w:rsidR="0077513D" w:rsidRDefault="0077513D" w:rsidP="0077513D">
            <w:pPr>
              <w:spacing w:beforeLines="20" w:before="48"/>
              <w:jc w:val="center"/>
            </w:pPr>
            <w:r w:rsidRPr="0086765A">
              <w:sym w:font="Wingdings 2" w:char="F099"/>
            </w:r>
          </w:p>
        </w:tc>
        <w:tc>
          <w:tcPr>
            <w:tcW w:w="567" w:type="dxa"/>
          </w:tcPr>
          <w:p w14:paraId="4BDB882F" w14:textId="77777777" w:rsidR="0077513D" w:rsidRDefault="0077513D" w:rsidP="0077513D">
            <w:pPr>
              <w:spacing w:beforeLines="20" w:before="48"/>
              <w:jc w:val="center"/>
            </w:pPr>
            <w:r w:rsidRPr="0086765A">
              <w:sym w:font="Wingdings 2" w:char="F099"/>
            </w:r>
          </w:p>
        </w:tc>
        <w:tc>
          <w:tcPr>
            <w:tcW w:w="567" w:type="dxa"/>
          </w:tcPr>
          <w:p w14:paraId="400447AB" w14:textId="77777777" w:rsidR="0077513D" w:rsidRDefault="0077513D" w:rsidP="0077513D">
            <w:pPr>
              <w:spacing w:beforeLines="20" w:before="48"/>
              <w:jc w:val="center"/>
            </w:pPr>
            <w:r w:rsidRPr="0086765A">
              <w:sym w:font="Wingdings 2" w:char="F099"/>
            </w:r>
          </w:p>
        </w:tc>
        <w:tc>
          <w:tcPr>
            <w:tcW w:w="1077" w:type="dxa"/>
          </w:tcPr>
          <w:p w14:paraId="7F3E47BB" w14:textId="77777777" w:rsidR="0077513D" w:rsidRDefault="0077513D" w:rsidP="0077513D">
            <w:pPr>
              <w:spacing w:beforeLines="20" w:before="48"/>
              <w:jc w:val="center"/>
            </w:pPr>
            <w:r w:rsidRPr="0086765A">
              <w:sym w:font="Wingdings 2" w:char="F099"/>
            </w:r>
          </w:p>
        </w:tc>
        <w:tc>
          <w:tcPr>
            <w:tcW w:w="567" w:type="dxa"/>
          </w:tcPr>
          <w:p w14:paraId="1352BE42" w14:textId="77777777" w:rsidR="0077513D" w:rsidRDefault="0077513D" w:rsidP="0077513D">
            <w:pPr>
              <w:spacing w:beforeLines="20" w:before="48"/>
              <w:jc w:val="center"/>
            </w:pPr>
            <w:r w:rsidRPr="0086765A">
              <w:sym w:font="Wingdings 2" w:char="F099"/>
            </w:r>
          </w:p>
        </w:tc>
        <w:tc>
          <w:tcPr>
            <w:tcW w:w="567" w:type="dxa"/>
          </w:tcPr>
          <w:p w14:paraId="68599E0D" w14:textId="77777777" w:rsidR="0077513D" w:rsidRDefault="0077513D" w:rsidP="0077513D">
            <w:pPr>
              <w:spacing w:beforeLines="20" w:before="48"/>
              <w:jc w:val="center"/>
            </w:pPr>
            <w:r w:rsidRPr="0086765A">
              <w:sym w:font="Wingdings 2" w:char="F099"/>
            </w:r>
          </w:p>
        </w:tc>
        <w:tc>
          <w:tcPr>
            <w:tcW w:w="1096" w:type="dxa"/>
          </w:tcPr>
          <w:p w14:paraId="51113BC7" w14:textId="77777777" w:rsidR="0077513D" w:rsidRDefault="0077513D" w:rsidP="0077513D">
            <w:pPr>
              <w:spacing w:beforeLines="20" w:before="48"/>
              <w:jc w:val="center"/>
            </w:pPr>
            <w:r w:rsidRPr="0086765A">
              <w:sym w:font="Wingdings 2" w:char="F099"/>
            </w:r>
          </w:p>
        </w:tc>
      </w:tr>
      <w:tr w:rsidR="0077513D" w:rsidRPr="000769EC" w14:paraId="3ADB7BA8" w14:textId="77777777" w:rsidTr="0077513D">
        <w:tc>
          <w:tcPr>
            <w:tcW w:w="4644" w:type="dxa"/>
          </w:tcPr>
          <w:p w14:paraId="33EE707D" w14:textId="77777777" w:rsidR="0077513D" w:rsidRPr="000D5BEF" w:rsidRDefault="0077513D" w:rsidP="0077513D">
            <w:pPr>
              <w:spacing w:beforeLines="20" w:before="48"/>
            </w:pPr>
            <w:r w:rsidRPr="000D5BEF">
              <w:t xml:space="preserve">Government agencies should encourage biosecurity </w:t>
            </w:r>
          </w:p>
        </w:tc>
        <w:tc>
          <w:tcPr>
            <w:tcW w:w="1077" w:type="dxa"/>
          </w:tcPr>
          <w:p w14:paraId="5D5E415A" w14:textId="77777777" w:rsidR="0077513D" w:rsidRDefault="0077513D" w:rsidP="0077513D">
            <w:pPr>
              <w:spacing w:beforeLines="20" w:before="48"/>
              <w:jc w:val="center"/>
            </w:pPr>
            <w:r w:rsidRPr="0086765A">
              <w:sym w:font="Wingdings 2" w:char="F099"/>
            </w:r>
          </w:p>
        </w:tc>
        <w:tc>
          <w:tcPr>
            <w:tcW w:w="567" w:type="dxa"/>
          </w:tcPr>
          <w:p w14:paraId="03FE00A7" w14:textId="77777777" w:rsidR="0077513D" w:rsidRDefault="0077513D" w:rsidP="0077513D">
            <w:pPr>
              <w:spacing w:beforeLines="20" w:before="48"/>
              <w:jc w:val="center"/>
            </w:pPr>
            <w:r w:rsidRPr="0086765A">
              <w:sym w:font="Wingdings 2" w:char="F099"/>
            </w:r>
          </w:p>
        </w:tc>
        <w:tc>
          <w:tcPr>
            <w:tcW w:w="567" w:type="dxa"/>
          </w:tcPr>
          <w:p w14:paraId="426BA9CF" w14:textId="77777777" w:rsidR="0077513D" w:rsidRDefault="0077513D" w:rsidP="0077513D">
            <w:pPr>
              <w:spacing w:beforeLines="20" w:before="48"/>
              <w:jc w:val="center"/>
            </w:pPr>
            <w:r w:rsidRPr="0086765A">
              <w:sym w:font="Wingdings 2" w:char="F099"/>
            </w:r>
          </w:p>
        </w:tc>
        <w:tc>
          <w:tcPr>
            <w:tcW w:w="1077" w:type="dxa"/>
          </w:tcPr>
          <w:p w14:paraId="375E4B4F" w14:textId="77777777" w:rsidR="0077513D" w:rsidRDefault="0077513D" w:rsidP="0077513D">
            <w:pPr>
              <w:spacing w:beforeLines="20" w:before="48"/>
              <w:jc w:val="center"/>
            </w:pPr>
            <w:r w:rsidRPr="0086765A">
              <w:sym w:font="Wingdings 2" w:char="F099"/>
            </w:r>
          </w:p>
        </w:tc>
        <w:tc>
          <w:tcPr>
            <w:tcW w:w="567" w:type="dxa"/>
          </w:tcPr>
          <w:p w14:paraId="377BD8C3" w14:textId="77777777" w:rsidR="0077513D" w:rsidRDefault="0077513D" w:rsidP="0077513D">
            <w:pPr>
              <w:spacing w:beforeLines="20" w:before="48"/>
              <w:jc w:val="center"/>
            </w:pPr>
            <w:r w:rsidRPr="0086765A">
              <w:sym w:font="Wingdings 2" w:char="F099"/>
            </w:r>
          </w:p>
        </w:tc>
        <w:tc>
          <w:tcPr>
            <w:tcW w:w="567" w:type="dxa"/>
          </w:tcPr>
          <w:p w14:paraId="25377A1F" w14:textId="77777777" w:rsidR="0077513D" w:rsidRDefault="0077513D" w:rsidP="0077513D">
            <w:pPr>
              <w:spacing w:beforeLines="20" w:before="48"/>
              <w:jc w:val="center"/>
            </w:pPr>
            <w:r w:rsidRPr="0086765A">
              <w:sym w:font="Wingdings 2" w:char="F099"/>
            </w:r>
          </w:p>
        </w:tc>
        <w:tc>
          <w:tcPr>
            <w:tcW w:w="1096" w:type="dxa"/>
          </w:tcPr>
          <w:p w14:paraId="5C54C376" w14:textId="77777777" w:rsidR="0077513D" w:rsidRDefault="0077513D" w:rsidP="0077513D">
            <w:pPr>
              <w:spacing w:beforeLines="20" w:before="48"/>
              <w:jc w:val="center"/>
            </w:pPr>
            <w:r w:rsidRPr="0086765A">
              <w:sym w:font="Wingdings 2" w:char="F099"/>
            </w:r>
          </w:p>
        </w:tc>
      </w:tr>
      <w:tr w:rsidR="0077513D" w:rsidRPr="000769EC" w14:paraId="79672908" w14:textId="77777777" w:rsidTr="0077513D">
        <w:trPr>
          <w:cnfStyle w:val="000000100000" w:firstRow="0" w:lastRow="0" w:firstColumn="0" w:lastColumn="0" w:oddVBand="0" w:evenVBand="0" w:oddHBand="1" w:evenHBand="0" w:firstRowFirstColumn="0" w:firstRowLastColumn="0" w:lastRowFirstColumn="0" w:lastRowLastColumn="0"/>
        </w:trPr>
        <w:tc>
          <w:tcPr>
            <w:tcW w:w="4644" w:type="dxa"/>
          </w:tcPr>
          <w:p w14:paraId="1123A431" w14:textId="77777777" w:rsidR="0077513D" w:rsidRPr="000D5BEF" w:rsidRDefault="0077513D" w:rsidP="0077513D">
            <w:pPr>
              <w:spacing w:beforeLines="20" w:before="48"/>
            </w:pPr>
            <w:r w:rsidRPr="000D5BEF">
              <w:t xml:space="preserve">Government agencies should keep industries and the general public informed about pests, weeds and diseases </w:t>
            </w:r>
          </w:p>
        </w:tc>
        <w:tc>
          <w:tcPr>
            <w:tcW w:w="1077" w:type="dxa"/>
          </w:tcPr>
          <w:p w14:paraId="1F5E9C35" w14:textId="77777777" w:rsidR="0077513D" w:rsidRDefault="0077513D" w:rsidP="0077513D">
            <w:pPr>
              <w:spacing w:beforeLines="20" w:before="48"/>
              <w:jc w:val="center"/>
            </w:pPr>
            <w:r w:rsidRPr="0086765A">
              <w:sym w:font="Wingdings 2" w:char="F099"/>
            </w:r>
          </w:p>
        </w:tc>
        <w:tc>
          <w:tcPr>
            <w:tcW w:w="567" w:type="dxa"/>
          </w:tcPr>
          <w:p w14:paraId="0B9B5DC5" w14:textId="77777777" w:rsidR="0077513D" w:rsidRDefault="0077513D" w:rsidP="0077513D">
            <w:pPr>
              <w:spacing w:beforeLines="20" w:before="48"/>
              <w:jc w:val="center"/>
            </w:pPr>
            <w:r w:rsidRPr="0086765A">
              <w:sym w:font="Wingdings 2" w:char="F099"/>
            </w:r>
          </w:p>
        </w:tc>
        <w:tc>
          <w:tcPr>
            <w:tcW w:w="567" w:type="dxa"/>
          </w:tcPr>
          <w:p w14:paraId="6269111A" w14:textId="77777777" w:rsidR="0077513D" w:rsidRDefault="0077513D" w:rsidP="0077513D">
            <w:pPr>
              <w:spacing w:beforeLines="20" w:before="48"/>
              <w:jc w:val="center"/>
            </w:pPr>
            <w:r w:rsidRPr="0086765A">
              <w:sym w:font="Wingdings 2" w:char="F099"/>
            </w:r>
          </w:p>
        </w:tc>
        <w:tc>
          <w:tcPr>
            <w:tcW w:w="1077" w:type="dxa"/>
          </w:tcPr>
          <w:p w14:paraId="73C1F7AC" w14:textId="77777777" w:rsidR="0077513D" w:rsidRDefault="0077513D" w:rsidP="0077513D">
            <w:pPr>
              <w:spacing w:beforeLines="20" w:before="48"/>
              <w:jc w:val="center"/>
            </w:pPr>
            <w:r w:rsidRPr="0086765A">
              <w:sym w:font="Wingdings 2" w:char="F099"/>
            </w:r>
          </w:p>
        </w:tc>
        <w:tc>
          <w:tcPr>
            <w:tcW w:w="567" w:type="dxa"/>
          </w:tcPr>
          <w:p w14:paraId="73476A88" w14:textId="77777777" w:rsidR="0077513D" w:rsidRDefault="0077513D" w:rsidP="0077513D">
            <w:pPr>
              <w:spacing w:beforeLines="20" w:before="48"/>
              <w:jc w:val="center"/>
            </w:pPr>
            <w:r w:rsidRPr="0086765A">
              <w:sym w:font="Wingdings 2" w:char="F099"/>
            </w:r>
          </w:p>
        </w:tc>
        <w:tc>
          <w:tcPr>
            <w:tcW w:w="567" w:type="dxa"/>
          </w:tcPr>
          <w:p w14:paraId="15CED6B9" w14:textId="77777777" w:rsidR="0077513D" w:rsidRDefault="0077513D" w:rsidP="0077513D">
            <w:pPr>
              <w:spacing w:beforeLines="20" w:before="48"/>
              <w:jc w:val="center"/>
            </w:pPr>
            <w:r w:rsidRPr="0086765A">
              <w:sym w:font="Wingdings 2" w:char="F099"/>
            </w:r>
          </w:p>
        </w:tc>
        <w:tc>
          <w:tcPr>
            <w:tcW w:w="1096" w:type="dxa"/>
          </w:tcPr>
          <w:p w14:paraId="3B103FAA" w14:textId="77777777" w:rsidR="0077513D" w:rsidRDefault="0077513D" w:rsidP="0077513D">
            <w:pPr>
              <w:spacing w:beforeLines="20" w:before="48"/>
              <w:jc w:val="center"/>
            </w:pPr>
            <w:r w:rsidRPr="0086765A">
              <w:sym w:font="Wingdings 2" w:char="F099"/>
            </w:r>
          </w:p>
        </w:tc>
      </w:tr>
      <w:tr w:rsidR="0077513D" w:rsidRPr="000769EC" w14:paraId="118290AA" w14:textId="77777777" w:rsidTr="0077513D">
        <w:tc>
          <w:tcPr>
            <w:tcW w:w="4644" w:type="dxa"/>
          </w:tcPr>
          <w:p w14:paraId="059E14AA" w14:textId="77777777" w:rsidR="0077513D" w:rsidRPr="000D5BEF" w:rsidRDefault="0077513D" w:rsidP="0077513D">
            <w:pPr>
              <w:spacing w:beforeLines="20" w:before="48"/>
            </w:pPr>
            <w:r w:rsidRPr="000D5BEF">
              <w:t xml:space="preserve">I expect the general community to have an awareness of biosecurity threats </w:t>
            </w:r>
          </w:p>
        </w:tc>
        <w:tc>
          <w:tcPr>
            <w:tcW w:w="1077" w:type="dxa"/>
          </w:tcPr>
          <w:p w14:paraId="1C8B81DF" w14:textId="77777777" w:rsidR="0077513D" w:rsidRDefault="0077513D" w:rsidP="0077513D">
            <w:pPr>
              <w:spacing w:beforeLines="20" w:before="48"/>
              <w:jc w:val="center"/>
            </w:pPr>
            <w:r w:rsidRPr="0086765A">
              <w:sym w:font="Wingdings 2" w:char="F099"/>
            </w:r>
          </w:p>
        </w:tc>
        <w:tc>
          <w:tcPr>
            <w:tcW w:w="567" w:type="dxa"/>
          </w:tcPr>
          <w:p w14:paraId="2F01FFC2" w14:textId="77777777" w:rsidR="0077513D" w:rsidRDefault="0077513D" w:rsidP="0077513D">
            <w:pPr>
              <w:spacing w:beforeLines="20" w:before="48"/>
              <w:jc w:val="center"/>
            </w:pPr>
            <w:r w:rsidRPr="0086765A">
              <w:sym w:font="Wingdings 2" w:char="F099"/>
            </w:r>
          </w:p>
        </w:tc>
        <w:tc>
          <w:tcPr>
            <w:tcW w:w="567" w:type="dxa"/>
          </w:tcPr>
          <w:p w14:paraId="7ABD94B5" w14:textId="77777777" w:rsidR="0077513D" w:rsidRDefault="0077513D" w:rsidP="0077513D">
            <w:pPr>
              <w:spacing w:beforeLines="20" w:before="48"/>
              <w:jc w:val="center"/>
            </w:pPr>
            <w:r w:rsidRPr="0086765A">
              <w:sym w:font="Wingdings 2" w:char="F099"/>
            </w:r>
          </w:p>
        </w:tc>
        <w:tc>
          <w:tcPr>
            <w:tcW w:w="1077" w:type="dxa"/>
          </w:tcPr>
          <w:p w14:paraId="55FEDEC9" w14:textId="77777777" w:rsidR="0077513D" w:rsidRDefault="0077513D" w:rsidP="0077513D">
            <w:pPr>
              <w:spacing w:beforeLines="20" w:before="48"/>
              <w:jc w:val="center"/>
            </w:pPr>
            <w:r w:rsidRPr="0086765A">
              <w:sym w:font="Wingdings 2" w:char="F099"/>
            </w:r>
          </w:p>
        </w:tc>
        <w:tc>
          <w:tcPr>
            <w:tcW w:w="567" w:type="dxa"/>
          </w:tcPr>
          <w:p w14:paraId="2DB5A8C0" w14:textId="77777777" w:rsidR="0077513D" w:rsidRDefault="0077513D" w:rsidP="0077513D">
            <w:pPr>
              <w:spacing w:beforeLines="20" w:before="48"/>
              <w:jc w:val="center"/>
            </w:pPr>
            <w:r w:rsidRPr="0086765A">
              <w:sym w:font="Wingdings 2" w:char="F099"/>
            </w:r>
          </w:p>
        </w:tc>
        <w:tc>
          <w:tcPr>
            <w:tcW w:w="567" w:type="dxa"/>
          </w:tcPr>
          <w:p w14:paraId="2D179E86" w14:textId="77777777" w:rsidR="0077513D" w:rsidRDefault="0077513D" w:rsidP="0077513D">
            <w:pPr>
              <w:spacing w:beforeLines="20" w:before="48"/>
              <w:jc w:val="center"/>
            </w:pPr>
            <w:r w:rsidRPr="0086765A">
              <w:sym w:font="Wingdings 2" w:char="F099"/>
            </w:r>
          </w:p>
        </w:tc>
        <w:tc>
          <w:tcPr>
            <w:tcW w:w="1096" w:type="dxa"/>
          </w:tcPr>
          <w:p w14:paraId="7E294D2C" w14:textId="77777777" w:rsidR="0077513D" w:rsidRDefault="0077513D" w:rsidP="0077513D">
            <w:pPr>
              <w:spacing w:beforeLines="20" w:before="48"/>
              <w:jc w:val="center"/>
            </w:pPr>
            <w:r w:rsidRPr="0086765A">
              <w:sym w:font="Wingdings 2" w:char="F099"/>
            </w:r>
          </w:p>
        </w:tc>
      </w:tr>
    </w:tbl>
    <w:p w14:paraId="58F49103" w14:textId="77777777" w:rsidR="0077513D" w:rsidRPr="00017CA6" w:rsidRDefault="0077513D" w:rsidP="0077513D">
      <w:pPr>
        <w:spacing w:before="240"/>
      </w:pPr>
      <w:r w:rsidRPr="00017CA6">
        <w:t xml:space="preserve">Comments </w:t>
      </w:r>
    </w:p>
    <w:tbl>
      <w:tblPr>
        <w:tblStyle w:val="TableGrid"/>
        <w:tblW w:w="0" w:type="auto"/>
        <w:tblLook w:val="04A0" w:firstRow="1" w:lastRow="0" w:firstColumn="1" w:lastColumn="0" w:noHBand="0" w:noVBand="1"/>
        <w:tblDescription w:val="Question 9 - Comment box"/>
      </w:tblPr>
      <w:tblGrid>
        <w:gridCol w:w="10422"/>
      </w:tblGrid>
      <w:tr w:rsidR="0077513D" w14:paraId="02A1601F" w14:textId="77777777" w:rsidTr="0077513D">
        <w:trPr>
          <w:cantSplit/>
          <w:trHeight w:val="1504"/>
          <w:tblHeader/>
        </w:trPr>
        <w:tc>
          <w:tcPr>
            <w:tcW w:w="10422" w:type="dxa"/>
            <w:tcBorders>
              <w:top w:val="nil"/>
              <w:left w:val="nil"/>
              <w:bottom w:val="nil"/>
              <w:right w:val="nil"/>
            </w:tcBorders>
            <w:shd w:val="clear" w:color="auto" w:fill="EEECE1" w:themeFill="background2"/>
          </w:tcPr>
          <w:p w14:paraId="396C1654" w14:textId="77777777" w:rsidR="0077513D" w:rsidRDefault="0077513D" w:rsidP="0077513D">
            <w:pPr>
              <w:rPr>
                <w:color w:val="999B9E"/>
              </w:rPr>
            </w:pPr>
          </w:p>
        </w:tc>
      </w:tr>
    </w:tbl>
    <w:p w14:paraId="03F1434E" w14:textId="77777777" w:rsidR="0077513D" w:rsidRPr="00017CA6" w:rsidRDefault="0077513D" w:rsidP="0077513D">
      <w:pPr>
        <w:rPr>
          <w:color w:val="999B9E"/>
        </w:rPr>
      </w:pPr>
    </w:p>
    <w:p w14:paraId="59AFCA19" w14:textId="77777777" w:rsidR="0077513D" w:rsidRDefault="0077513D">
      <w:pPr>
        <w:spacing w:after="200" w:line="276" w:lineRule="auto"/>
        <w:rPr>
          <w:b/>
          <w:color w:val="000000" w:themeColor="text1"/>
          <w:sz w:val="24"/>
          <w:szCs w:val="24"/>
        </w:rPr>
      </w:pPr>
      <w:r>
        <w:br w:type="page"/>
      </w:r>
    </w:p>
    <w:p w14:paraId="47E90BD8" w14:textId="77777777" w:rsidR="0077513D" w:rsidRPr="00017CA6" w:rsidRDefault="0077513D" w:rsidP="0077513D">
      <w:pPr>
        <w:pStyle w:val="question"/>
      </w:pPr>
      <w:r w:rsidRPr="00017CA6">
        <w:lastRenderedPageBreak/>
        <w:t xml:space="preserve">10. </w:t>
      </w:r>
      <w:r>
        <w:tab/>
      </w:r>
      <w:r w:rsidRPr="00017CA6">
        <w:t xml:space="preserve">The following statements relate to possible principles to guide biosecurity policy </w:t>
      </w:r>
      <w:r w:rsidRPr="00017CA6">
        <w:rPr>
          <w:bCs/>
        </w:rPr>
        <w:t xml:space="preserve">and actions. Please provide your agreement or disagreement with each statement. </w:t>
      </w:r>
    </w:p>
    <w:tbl>
      <w:tblPr>
        <w:tblStyle w:val="Style1"/>
        <w:tblW w:w="10546" w:type="dxa"/>
        <w:tblLook w:val="04A0" w:firstRow="1" w:lastRow="0" w:firstColumn="1" w:lastColumn="0" w:noHBand="0" w:noVBand="1"/>
        <w:tblDescription w:val="Question 10 - Set ofstatements regarding possible principles to guide biosecurity policy"/>
      </w:tblPr>
      <w:tblGrid>
        <w:gridCol w:w="4820"/>
        <w:gridCol w:w="1119"/>
        <w:gridCol w:w="588"/>
        <w:gridCol w:w="588"/>
        <w:gridCol w:w="1118"/>
        <w:gridCol w:w="588"/>
        <w:gridCol w:w="588"/>
        <w:gridCol w:w="1137"/>
      </w:tblGrid>
      <w:tr w:rsidR="0077513D" w:rsidRPr="003C1B44" w14:paraId="0039B370" w14:textId="77777777" w:rsidTr="0077513D">
        <w:trPr>
          <w:cnfStyle w:val="100000000000" w:firstRow="1" w:lastRow="0" w:firstColumn="0" w:lastColumn="0" w:oddVBand="0" w:evenVBand="0" w:oddHBand="0" w:evenHBand="0" w:firstRowFirstColumn="0" w:firstRowLastColumn="0" w:lastRowFirstColumn="0" w:lastRowLastColumn="0"/>
        </w:trPr>
        <w:tc>
          <w:tcPr>
            <w:tcW w:w="4644" w:type="dxa"/>
          </w:tcPr>
          <w:p w14:paraId="5278482A" w14:textId="77777777" w:rsidR="0077513D" w:rsidRPr="000D5BEF" w:rsidRDefault="0077513D" w:rsidP="0077513D">
            <w:pPr>
              <w:spacing w:beforeLines="20" w:before="48" w:line="240" w:lineRule="auto"/>
              <w:jc w:val="center"/>
            </w:pPr>
          </w:p>
        </w:tc>
        <w:tc>
          <w:tcPr>
            <w:tcW w:w="1077" w:type="dxa"/>
          </w:tcPr>
          <w:p w14:paraId="6B756645" w14:textId="77777777" w:rsidR="0077513D" w:rsidRPr="0014238B" w:rsidRDefault="0077513D" w:rsidP="0077513D">
            <w:pPr>
              <w:spacing w:beforeLines="20" w:before="48" w:line="240" w:lineRule="auto"/>
              <w:jc w:val="center"/>
              <w:rPr>
                <w:rFonts w:cs="Arial"/>
                <w:color w:val="231F20"/>
              </w:rPr>
            </w:pPr>
            <w:r w:rsidRPr="000D5BEF">
              <w:rPr>
                <w:rFonts w:cs="Arial"/>
                <w:color w:val="231F20"/>
              </w:rPr>
              <w:t>1 strongly</w:t>
            </w:r>
            <w:r>
              <w:rPr>
                <w:rFonts w:cs="Arial"/>
                <w:color w:val="231F20"/>
              </w:rPr>
              <w:t xml:space="preserve"> </w:t>
            </w:r>
            <w:r w:rsidRPr="000D5BEF">
              <w:t>disagree</w:t>
            </w:r>
          </w:p>
        </w:tc>
        <w:tc>
          <w:tcPr>
            <w:tcW w:w="567" w:type="dxa"/>
          </w:tcPr>
          <w:p w14:paraId="11E15E4E" w14:textId="77777777" w:rsidR="0077513D" w:rsidRPr="000D5BEF" w:rsidRDefault="0077513D" w:rsidP="0077513D">
            <w:pPr>
              <w:spacing w:beforeLines="20" w:before="48" w:line="240" w:lineRule="auto"/>
              <w:jc w:val="center"/>
            </w:pPr>
            <w:r w:rsidRPr="000D5BEF">
              <w:t>2</w:t>
            </w:r>
          </w:p>
        </w:tc>
        <w:tc>
          <w:tcPr>
            <w:tcW w:w="567" w:type="dxa"/>
          </w:tcPr>
          <w:p w14:paraId="0DEB85EB" w14:textId="77777777" w:rsidR="0077513D" w:rsidRPr="000D5BEF" w:rsidRDefault="0077513D" w:rsidP="0077513D">
            <w:pPr>
              <w:spacing w:beforeLines="20" w:before="48" w:line="240" w:lineRule="auto"/>
              <w:jc w:val="center"/>
            </w:pPr>
            <w:r w:rsidRPr="000D5BEF">
              <w:t>3</w:t>
            </w:r>
          </w:p>
        </w:tc>
        <w:tc>
          <w:tcPr>
            <w:tcW w:w="1077" w:type="dxa"/>
          </w:tcPr>
          <w:p w14:paraId="1F7D48F6" w14:textId="77777777" w:rsidR="0077513D" w:rsidRPr="000D5BEF" w:rsidRDefault="0077513D" w:rsidP="0077513D">
            <w:pPr>
              <w:spacing w:beforeLines="20" w:before="48" w:line="240" w:lineRule="auto"/>
              <w:jc w:val="center"/>
            </w:pPr>
            <w:r w:rsidRPr="000D5BEF">
              <w:rPr>
                <w:rFonts w:cs="Arial"/>
                <w:color w:val="231F20"/>
              </w:rPr>
              <w:t>4</w:t>
            </w:r>
            <w:r w:rsidRPr="000D5BEF">
              <w:rPr>
                <w:rFonts w:cs="Arial"/>
                <w:color w:val="231F20"/>
              </w:rPr>
              <w:br/>
              <w:t>neither</w:t>
            </w:r>
            <w:r>
              <w:rPr>
                <w:rFonts w:cs="Arial"/>
                <w:color w:val="231F20"/>
              </w:rPr>
              <w:t xml:space="preserve"> </w:t>
            </w:r>
            <w:r w:rsidRPr="000D5BEF">
              <w:rPr>
                <w:rFonts w:cs="Arial"/>
                <w:color w:val="231F20"/>
              </w:rPr>
              <w:t>agree or</w:t>
            </w:r>
            <w:r>
              <w:rPr>
                <w:rFonts w:cs="Arial"/>
                <w:color w:val="231F20"/>
              </w:rPr>
              <w:t xml:space="preserve"> </w:t>
            </w:r>
            <w:r w:rsidRPr="000D5BEF">
              <w:t>disagree</w:t>
            </w:r>
          </w:p>
        </w:tc>
        <w:tc>
          <w:tcPr>
            <w:tcW w:w="567" w:type="dxa"/>
          </w:tcPr>
          <w:p w14:paraId="2464CEE0" w14:textId="77777777" w:rsidR="0077513D" w:rsidRPr="000D5BEF" w:rsidRDefault="0077513D" w:rsidP="0077513D">
            <w:pPr>
              <w:spacing w:beforeLines="20" w:before="48" w:line="240" w:lineRule="auto"/>
              <w:jc w:val="center"/>
            </w:pPr>
            <w:r w:rsidRPr="000D5BEF">
              <w:t>5</w:t>
            </w:r>
          </w:p>
        </w:tc>
        <w:tc>
          <w:tcPr>
            <w:tcW w:w="567" w:type="dxa"/>
          </w:tcPr>
          <w:p w14:paraId="4A61221E" w14:textId="77777777" w:rsidR="0077513D" w:rsidRPr="000D5BEF" w:rsidRDefault="0077513D" w:rsidP="0077513D">
            <w:pPr>
              <w:spacing w:beforeLines="20" w:before="48" w:line="240" w:lineRule="auto"/>
              <w:jc w:val="center"/>
            </w:pPr>
            <w:r w:rsidRPr="000D5BEF">
              <w:t>6</w:t>
            </w:r>
          </w:p>
        </w:tc>
        <w:tc>
          <w:tcPr>
            <w:tcW w:w="1096" w:type="dxa"/>
          </w:tcPr>
          <w:p w14:paraId="0B66C253" w14:textId="77777777" w:rsidR="0077513D" w:rsidRPr="000D5BEF" w:rsidRDefault="0077513D" w:rsidP="0077513D">
            <w:pPr>
              <w:spacing w:beforeLines="20" w:before="48" w:line="240" w:lineRule="auto"/>
              <w:jc w:val="center"/>
            </w:pPr>
            <w:r w:rsidRPr="000D5BEF">
              <w:rPr>
                <w:rFonts w:cs="Arial"/>
                <w:color w:val="231F20"/>
              </w:rPr>
              <w:t>7</w:t>
            </w:r>
            <w:r w:rsidRPr="000D5BEF">
              <w:rPr>
                <w:rFonts w:cs="Arial"/>
                <w:color w:val="231F20"/>
              </w:rPr>
              <w:br/>
              <w:t>strongly</w:t>
            </w:r>
            <w:r>
              <w:rPr>
                <w:rFonts w:cs="Arial"/>
                <w:color w:val="231F20"/>
              </w:rPr>
              <w:t xml:space="preserve"> </w:t>
            </w:r>
            <w:r w:rsidRPr="000D5BEF">
              <w:t>agree</w:t>
            </w:r>
          </w:p>
        </w:tc>
      </w:tr>
      <w:tr w:rsidR="0077513D" w:rsidRPr="000769EC" w14:paraId="69EC7049" w14:textId="77777777" w:rsidTr="0077513D">
        <w:trPr>
          <w:cnfStyle w:val="000000100000" w:firstRow="0" w:lastRow="0" w:firstColumn="0" w:lastColumn="0" w:oddVBand="0" w:evenVBand="0" w:oddHBand="1" w:evenHBand="0" w:firstRowFirstColumn="0" w:firstRowLastColumn="0" w:lastRowFirstColumn="0" w:lastRowLastColumn="0"/>
        </w:trPr>
        <w:tc>
          <w:tcPr>
            <w:tcW w:w="4644" w:type="dxa"/>
          </w:tcPr>
          <w:p w14:paraId="40A57587" w14:textId="77777777" w:rsidR="0077513D" w:rsidRPr="000769EC" w:rsidRDefault="0077513D" w:rsidP="0077513D">
            <w:pPr>
              <w:spacing w:beforeLines="20" w:before="48"/>
            </w:pPr>
            <w:r w:rsidRPr="00017CA6">
              <w:t xml:space="preserve">Biosecurity activities must be targeted to areas of greatest risk </w:t>
            </w:r>
          </w:p>
        </w:tc>
        <w:tc>
          <w:tcPr>
            <w:tcW w:w="1077" w:type="dxa"/>
          </w:tcPr>
          <w:p w14:paraId="269A8B78" w14:textId="77777777" w:rsidR="0077513D" w:rsidRDefault="0077513D" w:rsidP="0077513D">
            <w:pPr>
              <w:spacing w:beforeLines="20" w:before="48"/>
              <w:jc w:val="center"/>
            </w:pPr>
            <w:r w:rsidRPr="00701F7B">
              <w:sym w:font="Wingdings 2" w:char="F099"/>
            </w:r>
          </w:p>
        </w:tc>
        <w:tc>
          <w:tcPr>
            <w:tcW w:w="567" w:type="dxa"/>
          </w:tcPr>
          <w:p w14:paraId="11E55124" w14:textId="77777777" w:rsidR="0077513D" w:rsidRDefault="0077513D" w:rsidP="0077513D">
            <w:pPr>
              <w:spacing w:beforeLines="20" w:before="48"/>
              <w:jc w:val="center"/>
            </w:pPr>
            <w:r w:rsidRPr="00701F7B">
              <w:sym w:font="Wingdings 2" w:char="F099"/>
            </w:r>
          </w:p>
        </w:tc>
        <w:tc>
          <w:tcPr>
            <w:tcW w:w="567" w:type="dxa"/>
          </w:tcPr>
          <w:p w14:paraId="25667DB0" w14:textId="77777777" w:rsidR="0077513D" w:rsidRDefault="0077513D" w:rsidP="0077513D">
            <w:pPr>
              <w:spacing w:beforeLines="20" w:before="48"/>
              <w:jc w:val="center"/>
            </w:pPr>
            <w:r w:rsidRPr="00701F7B">
              <w:sym w:font="Wingdings 2" w:char="F099"/>
            </w:r>
          </w:p>
        </w:tc>
        <w:tc>
          <w:tcPr>
            <w:tcW w:w="1077" w:type="dxa"/>
          </w:tcPr>
          <w:p w14:paraId="67F097D6" w14:textId="77777777" w:rsidR="0077513D" w:rsidRDefault="0077513D" w:rsidP="0077513D">
            <w:pPr>
              <w:spacing w:beforeLines="20" w:before="48"/>
              <w:jc w:val="center"/>
            </w:pPr>
            <w:r w:rsidRPr="00701F7B">
              <w:sym w:font="Wingdings 2" w:char="F099"/>
            </w:r>
          </w:p>
        </w:tc>
        <w:tc>
          <w:tcPr>
            <w:tcW w:w="567" w:type="dxa"/>
          </w:tcPr>
          <w:p w14:paraId="13FDD0D9" w14:textId="77777777" w:rsidR="0077513D" w:rsidRDefault="0077513D" w:rsidP="0077513D">
            <w:pPr>
              <w:spacing w:beforeLines="20" w:before="48"/>
              <w:jc w:val="center"/>
            </w:pPr>
            <w:r w:rsidRPr="00701F7B">
              <w:sym w:font="Wingdings 2" w:char="F099"/>
            </w:r>
          </w:p>
        </w:tc>
        <w:tc>
          <w:tcPr>
            <w:tcW w:w="567" w:type="dxa"/>
          </w:tcPr>
          <w:p w14:paraId="0B41E216" w14:textId="77777777" w:rsidR="0077513D" w:rsidRDefault="0077513D" w:rsidP="0077513D">
            <w:pPr>
              <w:spacing w:beforeLines="20" w:before="48"/>
              <w:jc w:val="center"/>
            </w:pPr>
            <w:r w:rsidRPr="00701F7B">
              <w:sym w:font="Wingdings 2" w:char="F099"/>
            </w:r>
          </w:p>
        </w:tc>
        <w:tc>
          <w:tcPr>
            <w:tcW w:w="1096" w:type="dxa"/>
          </w:tcPr>
          <w:p w14:paraId="798B23E1" w14:textId="77777777" w:rsidR="0077513D" w:rsidRDefault="0077513D" w:rsidP="0077513D">
            <w:pPr>
              <w:spacing w:beforeLines="20" w:before="48"/>
              <w:jc w:val="center"/>
            </w:pPr>
            <w:r w:rsidRPr="00701F7B">
              <w:sym w:font="Wingdings 2" w:char="F099"/>
            </w:r>
          </w:p>
        </w:tc>
      </w:tr>
      <w:tr w:rsidR="0077513D" w:rsidRPr="000769EC" w14:paraId="085BDEB6" w14:textId="77777777" w:rsidTr="0077513D">
        <w:tc>
          <w:tcPr>
            <w:tcW w:w="4644" w:type="dxa"/>
          </w:tcPr>
          <w:p w14:paraId="2E9CA2F9" w14:textId="77777777" w:rsidR="0077513D" w:rsidRPr="000769EC" w:rsidRDefault="0077513D" w:rsidP="0077513D">
            <w:pPr>
              <w:spacing w:beforeLines="20" w:before="48"/>
            </w:pPr>
            <w:r w:rsidRPr="00017CA6">
              <w:t xml:space="preserve">The benefits of biosecurity activities should always outweigh the costs </w:t>
            </w:r>
          </w:p>
        </w:tc>
        <w:tc>
          <w:tcPr>
            <w:tcW w:w="1077" w:type="dxa"/>
          </w:tcPr>
          <w:p w14:paraId="4A24E700" w14:textId="77777777" w:rsidR="0077513D" w:rsidRDefault="0077513D" w:rsidP="0077513D">
            <w:pPr>
              <w:spacing w:beforeLines="20" w:before="48"/>
              <w:jc w:val="center"/>
            </w:pPr>
            <w:r w:rsidRPr="00701F7B">
              <w:sym w:font="Wingdings 2" w:char="F099"/>
            </w:r>
          </w:p>
        </w:tc>
        <w:tc>
          <w:tcPr>
            <w:tcW w:w="567" w:type="dxa"/>
          </w:tcPr>
          <w:p w14:paraId="04BEBBDA" w14:textId="77777777" w:rsidR="0077513D" w:rsidRDefault="0077513D" w:rsidP="0077513D">
            <w:pPr>
              <w:spacing w:beforeLines="20" w:before="48"/>
              <w:jc w:val="center"/>
            </w:pPr>
            <w:r w:rsidRPr="00701F7B">
              <w:sym w:font="Wingdings 2" w:char="F099"/>
            </w:r>
          </w:p>
        </w:tc>
        <w:tc>
          <w:tcPr>
            <w:tcW w:w="567" w:type="dxa"/>
          </w:tcPr>
          <w:p w14:paraId="24394D4C" w14:textId="77777777" w:rsidR="0077513D" w:rsidRDefault="0077513D" w:rsidP="0077513D">
            <w:pPr>
              <w:spacing w:beforeLines="20" w:before="48"/>
              <w:jc w:val="center"/>
            </w:pPr>
            <w:r w:rsidRPr="00701F7B">
              <w:sym w:font="Wingdings 2" w:char="F099"/>
            </w:r>
          </w:p>
        </w:tc>
        <w:tc>
          <w:tcPr>
            <w:tcW w:w="1077" w:type="dxa"/>
          </w:tcPr>
          <w:p w14:paraId="455731CE" w14:textId="77777777" w:rsidR="0077513D" w:rsidRDefault="0077513D" w:rsidP="0077513D">
            <w:pPr>
              <w:spacing w:beforeLines="20" w:before="48"/>
              <w:jc w:val="center"/>
            </w:pPr>
            <w:r w:rsidRPr="00701F7B">
              <w:sym w:font="Wingdings 2" w:char="F099"/>
            </w:r>
          </w:p>
        </w:tc>
        <w:tc>
          <w:tcPr>
            <w:tcW w:w="567" w:type="dxa"/>
          </w:tcPr>
          <w:p w14:paraId="3D1E7378" w14:textId="77777777" w:rsidR="0077513D" w:rsidRDefault="0077513D" w:rsidP="0077513D">
            <w:pPr>
              <w:spacing w:beforeLines="20" w:before="48"/>
              <w:jc w:val="center"/>
            </w:pPr>
            <w:r w:rsidRPr="00701F7B">
              <w:sym w:font="Wingdings 2" w:char="F099"/>
            </w:r>
          </w:p>
        </w:tc>
        <w:tc>
          <w:tcPr>
            <w:tcW w:w="567" w:type="dxa"/>
          </w:tcPr>
          <w:p w14:paraId="54408EF2" w14:textId="77777777" w:rsidR="0077513D" w:rsidRDefault="0077513D" w:rsidP="0077513D">
            <w:pPr>
              <w:spacing w:beforeLines="20" w:before="48"/>
              <w:jc w:val="center"/>
            </w:pPr>
            <w:r w:rsidRPr="00701F7B">
              <w:sym w:font="Wingdings 2" w:char="F099"/>
            </w:r>
          </w:p>
        </w:tc>
        <w:tc>
          <w:tcPr>
            <w:tcW w:w="1096" w:type="dxa"/>
          </w:tcPr>
          <w:p w14:paraId="4BB8B746" w14:textId="77777777" w:rsidR="0077513D" w:rsidRDefault="0077513D" w:rsidP="0077513D">
            <w:pPr>
              <w:spacing w:beforeLines="20" w:before="48"/>
              <w:jc w:val="center"/>
            </w:pPr>
            <w:r w:rsidRPr="00701F7B">
              <w:sym w:font="Wingdings 2" w:char="F099"/>
            </w:r>
          </w:p>
        </w:tc>
      </w:tr>
      <w:tr w:rsidR="0077513D" w:rsidRPr="000769EC" w14:paraId="21205EDD" w14:textId="77777777" w:rsidTr="0077513D">
        <w:trPr>
          <w:cnfStyle w:val="000000100000" w:firstRow="0" w:lastRow="0" w:firstColumn="0" w:lastColumn="0" w:oddVBand="0" w:evenVBand="0" w:oddHBand="1" w:evenHBand="0" w:firstRowFirstColumn="0" w:firstRowLastColumn="0" w:lastRowFirstColumn="0" w:lastRowLastColumn="0"/>
        </w:trPr>
        <w:tc>
          <w:tcPr>
            <w:tcW w:w="4644" w:type="dxa"/>
          </w:tcPr>
          <w:p w14:paraId="477B9D45" w14:textId="77777777" w:rsidR="0077513D" w:rsidRPr="000769EC" w:rsidRDefault="0077513D" w:rsidP="0077513D">
            <w:pPr>
              <w:spacing w:beforeLines="20" w:before="48"/>
            </w:pPr>
            <w:r w:rsidRPr="00017CA6">
              <w:t xml:space="preserve">Decisions relating to biosecurity should consider environmental, social and economic factors </w:t>
            </w:r>
          </w:p>
        </w:tc>
        <w:tc>
          <w:tcPr>
            <w:tcW w:w="1077" w:type="dxa"/>
          </w:tcPr>
          <w:p w14:paraId="6C4D3FE6" w14:textId="77777777" w:rsidR="0077513D" w:rsidRDefault="0077513D" w:rsidP="0077513D">
            <w:pPr>
              <w:spacing w:beforeLines="20" w:before="48"/>
              <w:jc w:val="center"/>
            </w:pPr>
            <w:r w:rsidRPr="00701F7B">
              <w:sym w:font="Wingdings 2" w:char="F099"/>
            </w:r>
          </w:p>
        </w:tc>
        <w:tc>
          <w:tcPr>
            <w:tcW w:w="567" w:type="dxa"/>
          </w:tcPr>
          <w:p w14:paraId="6A99409B" w14:textId="77777777" w:rsidR="0077513D" w:rsidRDefault="0077513D" w:rsidP="0077513D">
            <w:pPr>
              <w:spacing w:beforeLines="20" w:before="48"/>
              <w:jc w:val="center"/>
            </w:pPr>
            <w:r w:rsidRPr="00701F7B">
              <w:sym w:font="Wingdings 2" w:char="F099"/>
            </w:r>
          </w:p>
        </w:tc>
        <w:tc>
          <w:tcPr>
            <w:tcW w:w="567" w:type="dxa"/>
          </w:tcPr>
          <w:p w14:paraId="14506370" w14:textId="77777777" w:rsidR="0077513D" w:rsidRDefault="0077513D" w:rsidP="0077513D">
            <w:pPr>
              <w:spacing w:beforeLines="20" w:before="48"/>
              <w:jc w:val="center"/>
            </w:pPr>
            <w:r w:rsidRPr="00701F7B">
              <w:sym w:font="Wingdings 2" w:char="F099"/>
            </w:r>
          </w:p>
        </w:tc>
        <w:tc>
          <w:tcPr>
            <w:tcW w:w="1077" w:type="dxa"/>
          </w:tcPr>
          <w:p w14:paraId="6B036D17" w14:textId="77777777" w:rsidR="0077513D" w:rsidRDefault="0077513D" w:rsidP="0077513D">
            <w:pPr>
              <w:spacing w:beforeLines="20" w:before="48"/>
              <w:jc w:val="center"/>
            </w:pPr>
            <w:r w:rsidRPr="00701F7B">
              <w:sym w:font="Wingdings 2" w:char="F099"/>
            </w:r>
          </w:p>
        </w:tc>
        <w:tc>
          <w:tcPr>
            <w:tcW w:w="567" w:type="dxa"/>
          </w:tcPr>
          <w:p w14:paraId="7D7D0E67" w14:textId="77777777" w:rsidR="0077513D" w:rsidRDefault="0077513D" w:rsidP="0077513D">
            <w:pPr>
              <w:spacing w:beforeLines="20" w:before="48"/>
              <w:jc w:val="center"/>
            </w:pPr>
            <w:r w:rsidRPr="00701F7B">
              <w:sym w:font="Wingdings 2" w:char="F099"/>
            </w:r>
          </w:p>
        </w:tc>
        <w:tc>
          <w:tcPr>
            <w:tcW w:w="567" w:type="dxa"/>
          </w:tcPr>
          <w:p w14:paraId="419E79C8" w14:textId="77777777" w:rsidR="0077513D" w:rsidRDefault="0077513D" w:rsidP="0077513D">
            <w:pPr>
              <w:spacing w:beforeLines="20" w:before="48"/>
              <w:jc w:val="center"/>
            </w:pPr>
            <w:r w:rsidRPr="00701F7B">
              <w:sym w:font="Wingdings 2" w:char="F099"/>
            </w:r>
          </w:p>
        </w:tc>
        <w:tc>
          <w:tcPr>
            <w:tcW w:w="1096" w:type="dxa"/>
          </w:tcPr>
          <w:p w14:paraId="77B2CAF0" w14:textId="77777777" w:rsidR="0077513D" w:rsidRDefault="0077513D" w:rsidP="0077513D">
            <w:pPr>
              <w:spacing w:beforeLines="20" w:before="48"/>
              <w:jc w:val="center"/>
            </w:pPr>
            <w:r w:rsidRPr="00701F7B">
              <w:sym w:font="Wingdings 2" w:char="F099"/>
            </w:r>
          </w:p>
        </w:tc>
      </w:tr>
      <w:tr w:rsidR="0077513D" w:rsidRPr="000769EC" w14:paraId="66230963" w14:textId="77777777" w:rsidTr="0077513D">
        <w:tc>
          <w:tcPr>
            <w:tcW w:w="4644" w:type="dxa"/>
          </w:tcPr>
          <w:p w14:paraId="71E3F98E" w14:textId="77777777" w:rsidR="0077513D" w:rsidRPr="000769EC" w:rsidRDefault="0077513D" w:rsidP="0077513D">
            <w:pPr>
              <w:spacing w:beforeLines="20" w:before="48"/>
            </w:pPr>
            <w:r w:rsidRPr="00017CA6">
              <w:t xml:space="preserve">We need to keep looking for new ways to address pests, weeds and diseases </w:t>
            </w:r>
          </w:p>
        </w:tc>
        <w:tc>
          <w:tcPr>
            <w:tcW w:w="1077" w:type="dxa"/>
          </w:tcPr>
          <w:p w14:paraId="51E9C268" w14:textId="77777777" w:rsidR="0077513D" w:rsidRDefault="0077513D" w:rsidP="0077513D">
            <w:pPr>
              <w:spacing w:beforeLines="20" w:before="48"/>
              <w:jc w:val="center"/>
            </w:pPr>
            <w:r w:rsidRPr="00701F7B">
              <w:sym w:font="Wingdings 2" w:char="F099"/>
            </w:r>
          </w:p>
        </w:tc>
        <w:tc>
          <w:tcPr>
            <w:tcW w:w="567" w:type="dxa"/>
          </w:tcPr>
          <w:p w14:paraId="0FD3F982" w14:textId="77777777" w:rsidR="0077513D" w:rsidRDefault="0077513D" w:rsidP="0077513D">
            <w:pPr>
              <w:spacing w:beforeLines="20" w:before="48"/>
              <w:jc w:val="center"/>
            </w:pPr>
            <w:r w:rsidRPr="00701F7B">
              <w:sym w:font="Wingdings 2" w:char="F099"/>
            </w:r>
          </w:p>
        </w:tc>
        <w:tc>
          <w:tcPr>
            <w:tcW w:w="567" w:type="dxa"/>
          </w:tcPr>
          <w:p w14:paraId="5217AF04" w14:textId="77777777" w:rsidR="0077513D" w:rsidRDefault="0077513D" w:rsidP="0077513D">
            <w:pPr>
              <w:spacing w:beforeLines="20" w:before="48"/>
              <w:jc w:val="center"/>
            </w:pPr>
            <w:r w:rsidRPr="00701F7B">
              <w:sym w:font="Wingdings 2" w:char="F099"/>
            </w:r>
          </w:p>
        </w:tc>
        <w:tc>
          <w:tcPr>
            <w:tcW w:w="1077" w:type="dxa"/>
          </w:tcPr>
          <w:p w14:paraId="71A20E88" w14:textId="77777777" w:rsidR="0077513D" w:rsidRDefault="0077513D" w:rsidP="0077513D">
            <w:pPr>
              <w:spacing w:beforeLines="20" w:before="48"/>
              <w:jc w:val="center"/>
            </w:pPr>
            <w:r w:rsidRPr="00701F7B">
              <w:sym w:font="Wingdings 2" w:char="F099"/>
            </w:r>
          </w:p>
        </w:tc>
        <w:tc>
          <w:tcPr>
            <w:tcW w:w="567" w:type="dxa"/>
          </w:tcPr>
          <w:p w14:paraId="71146EB0" w14:textId="77777777" w:rsidR="0077513D" w:rsidRDefault="0077513D" w:rsidP="0077513D">
            <w:pPr>
              <w:spacing w:beforeLines="20" w:before="48"/>
              <w:jc w:val="center"/>
            </w:pPr>
            <w:r w:rsidRPr="00701F7B">
              <w:sym w:font="Wingdings 2" w:char="F099"/>
            </w:r>
          </w:p>
        </w:tc>
        <w:tc>
          <w:tcPr>
            <w:tcW w:w="567" w:type="dxa"/>
          </w:tcPr>
          <w:p w14:paraId="37E75CBC" w14:textId="77777777" w:rsidR="0077513D" w:rsidRDefault="0077513D" w:rsidP="0077513D">
            <w:pPr>
              <w:spacing w:beforeLines="20" w:before="48"/>
              <w:jc w:val="center"/>
            </w:pPr>
            <w:r w:rsidRPr="00701F7B">
              <w:sym w:font="Wingdings 2" w:char="F099"/>
            </w:r>
          </w:p>
        </w:tc>
        <w:tc>
          <w:tcPr>
            <w:tcW w:w="1096" w:type="dxa"/>
          </w:tcPr>
          <w:p w14:paraId="41DD6972" w14:textId="77777777" w:rsidR="0077513D" w:rsidRDefault="0077513D" w:rsidP="0077513D">
            <w:pPr>
              <w:spacing w:beforeLines="20" w:before="48"/>
              <w:jc w:val="center"/>
            </w:pPr>
            <w:r w:rsidRPr="00701F7B">
              <w:sym w:font="Wingdings 2" w:char="F099"/>
            </w:r>
          </w:p>
        </w:tc>
      </w:tr>
      <w:tr w:rsidR="0077513D" w:rsidRPr="000769EC" w14:paraId="1A51FF7B" w14:textId="77777777" w:rsidTr="0077513D">
        <w:trPr>
          <w:cnfStyle w:val="000000100000" w:firstRow="0" w:lastRow="0" w:firstColumn="0" w:lastColumn="0" w:oddVBand="0" w:evenVBand="0" w:oddHBand="1" w:evenHBand="0" w:firstRowFirstColumn="0" w:firstRowLastColumn="0" w:lastRowFirstColumn="0" w:lastRowLastColumn="0"/>
        </w:trPr>
        <w:tc>
          <w:tcPr>
            <w:tcW w:w="4644" w:type="dxa"/>
          </w:tcPr>
          <w:p w14:paraId="692C0609" w14:textId="77777777" w:rsidR="0077513D" w:rsidRPr="000769EC" w:rsidRDefault="0077513D" w:rsidP="0077513D">
            <w:pPr>
              <w:spacing w:beforeLines="20" w:before="48"/>
            </w:pPr>
            <w:r w:rsidRPr="00017CA6">
              <w:t xml:space="preserve">Reporting of suspicious pests, weeds and diseases is everyone’s responsibility </w:t>
            </w:r>
          </w:p>
        </w:tc>
        <w:tc>
          <w:tcPr>
            <w:tcW w:w="1077" w:type="dxa"/>
          </w:tcPr>
          <w:p w14:paraId="58F076C3" w14:textId="77777777" w:rsidR="0077513D" w:rsidRDefault="0077513D" w:rsidP="0077513D">
            <w:pPr>
              <w:spacing w:beforeLines="20" w:before="48"/>
              <w:jc w:val="center"/>
            </w:pPr>
            <w:r w:rsidRPr="00701F7B">
              <w:sym w:font="Wingdings 2" w:char="F099"/>
            </w:r>
          </w:p>
        </w:tc>
        <w:tc>
          <w:tcPr>
            <w:tcW w:w="567" w:type="dxa"/>
          </w:tcPr>
          <w:p w14:paraId="1C08FB79" w14:textId="77777777" w:rsidR="0077513D" w:rsidRDefault="0077513D" w:rsidP="0077513D">
            <w:pPr>
              <w:spacing w:beforeLines="20" w:before="48"/>
              <w:jc w:val="center"/>
            </w:pPr>
            <w:r w:rsidRPr="00701F7B">
              <w:sym w:font="Wingdings 2" w:char="F099"/>
            </w:r>
          </w:p>
        </w:tc>
        <w:tc>
          <w:tcPr>
            <w:tcW w:w="567" w:type="dxa"/>
          </w:tcPr>
          <w:p w14:paraId="1FA40243" w14:textId="77777777" w:rsidR="0077513D" w:rsidRDefault="0077513D" w:rsidP="0077513D">
            <w:pPr>
              <w:spacing w:beforeLines="20" w:before="48"/>
              <w:jc w:val="center"/>
            </w:pPr>
            <w:r w:rsidRPr="00701F7B">
              <w:sym w:font="Wingdings 2" w:char="F099"/>
            </w:r>
          </w:p>
        </w:tc>
        <w:tc>
          <w:tcPr>
            <w:tcW w:w="1077" w:type="dxa"/>
          </w:tcPr>
          <w:p w14:paraId="71F78BBE" w14:textId="77777777" w:rsidR="0077513D" w:rsidRDefault="0077513D" w:rsidP="0077513D">
            <w:pPr>
              <w:spacing w:beforeLines="20" w:before="48"/>
              <w:jc w:val="center"/>
            </w:pPr>
            <w:r w:rsidRPr="00701F7B">
              <w:sym w:font="Wingdings 2" w:char="F099"/>
            </w:r>
          </w:p>
        </w:tc>
        <w:tc>
          <w:tcPr>
            <w:tcW w:w="567" w:type="dxa"/>
          </w:tcPr>
          <w:p w14:paraId="40B8FC32" w14:textId="77777777" w:rsidR="0077513D" w:rsidRDefault="0077513D" w:rsidP="0077513D">
            <w:pPr>
              <w:spacing w:beforeLines="20" w:before="48"/>
              <w:jc w:val="center"/>
            </w:pPr>
            <w:r w:rsidRPr="00701F7B">
              <w:sym w:font="Wingdings 2" w:char="F099"/>
            </w:r>
          </w:p>
        </w:tc>
        <w:tc>
          <w:tcPr>
            <w:tcW w:w="567" w:type="dxa"/>
          </w:tcPr>
          <w:p w14:paraId="13AFF3E4" w14:textId="77777777" w:rsidR="0077513D" w:rsidRDefault="0077513D" w:rsidP="0077513D">
            <w:pPr>
              <w:spacing w:beforeLines="20" w:before="48"/>
              <w:jc w:val="center"/>
            </w:pPr>
            <w:r w:rsidRPr="00701F7B">
              <w:sym w:font="Wingdings 2" w:char="F099"/>
            </w:r>
          </w:p>
        </w:tc>
        <w:tc>
          <w:tcPr>
            <w:tcW w:w="1096" w:type="dxa"/>
          </w:tcPr>
          <w:p w14:paraId="602C309E" w14:textId="77777777" w:rsidR="0077513D" w:rsidRDefault="0077513D" w:rsidP="0077513D">
            <w:pPr>
              <w:spacing w:beforeLines="20" w:before="48"/>
              <w:jc w:val="center"/>
            </w:pPr>
            <w:r w:rsidRPr="00701F7B">
              <w:sym w:font="Wingdings 2" w:char="F099"/>
            </w:r>
          </w:p>
        </w:tc>
      </w:tr>
      <w:tr w:rsidR="0077513D" w:rsidRPr="000769EC" w14:paraId="7D9F1B82" w14:textId="77777777" w:rsidTr="0077513D">
        <w:tc>
          <w:tcPr>
            <w:tcW w:w="4644" w:type="dxa"/>
          </w:tcPr>
          <w:p w14:paraId="56C2E29B" w14:textId="77777777" w:rsidR="0077513D" w:rsidRPr="00017CA6" w:rsidRDefault="0077513D" w:rsidP="0077513D">
            <w:pPr>
              <w:spacing w:beforeLines="20" w:before="48"/>
            </w:pPr>
            <w:r w:rsidRPr="00017CA6">
              <w:t xml:space="preserve">I expect government to have the expertise and resources needed to support an effective biosecurity system </w:t>
            </w:r>
          </w:p>
          <w:p w14:paraId="0D7C34BF" w14:textId="77777777" w:rsidR="0077513D" w:rsidRPr="00017CA6" w:rsidRDefault="0077513D" w:rsidP="0077513D">
            <w:pPr>
              <w:spacing w:beforeLines="20" w:before="48"/>
            </w:pPr>
            <w:r w:rsidRPr="00017CA6">
              <w:t xml:space="preserve">I expect industry to have the expertise and resources to undertake relevant biosecurity activities </w:t>
            </w:r>
          </w:p>
        </w:tc>
        <w:tc>
          <w:tcPr>
            <w:tcW w:w="1077" w:type="dxa"/>
          </w:tcPr>
          <w:p w14:paraId="71002E18" w14:textId="77777777" w:rsidR="0077513D" w:rsidRDefault="0077513D" w:rsidP="0077513D">
            <w:pPr>
              <w:spacing w:beforeLines="20" w:before="48"/>
              <w:jc w:val="center"/>
            </w:pPr>
            <w:r w:rsidRPr="00701F7B">
              <w:sym w:font="Wingdings 2" w:char="F099"/>
            </w:r>
          </w:p>
        </w:tc>
        <w:tc>
          <w:tcPr>
            <w:tcW w:w="567" w:type="dxa"/>
          </w:tcPr>
          <w:p w14:paraId="2EF53D17" w14:textId="77777777" w:rsidR="0077513D" w:rsidRDefault="0077513D" w:rsidP="0077513D">
            <w:pPr>
              <w:spacing w:beforeLines="20" w:before="48"/>
              <w:jc w:val="center"/>
            </w:pPr>
            <w:r w:rsidRPr="00701F7B">
              <w:sym w:font="Wingdings 2" w:char="F099"/>
            </w:r>
          </w:p>
        </w:tc>
        <w:tc>
          <w:tcPr>
            <w:tcW w:w="567" w:type="dxa"/>
          </w:tcPr>
          <w:p w14:paraId="11356444" w14:textId="77777777" w:rsidR="0077513D" w:rsidRDefault="0077513D" w:rsidP="0077513D">
            <w:pPr>
              <w:spacing w:beforeLines="20" w:before="48"/>
              <w:jc w:val="center"/>
            </w:pPr>
            <w:r w:rsidRPr="00701F7B">
              <w:sym w:font="Wingdings 2" w:char="F099"/>
            </w:r>
          </w:p>
        </w:tc>
        <w:tc>
          <w:tcPr>
            <w:tcW w:w="1077" w:type="dxa"/>
          </w:tcPr>
          <w:p w14:paraId="48542E10" w14:textId="77777777" w:rsidR="0077513D" w:rsidRDefault="0077513D" w:rsidP="0077513D">
            <w:pPr>
              <w:spacing w:beforeLines="20" w:before="48"/>
              <w:jc w:val="center"/>
            </w:pPr>
            <w:r w:rsidRPr="00701F7B">
              <w:sym w:font="Wingdings 2" w:char="F099"/>
            </w:r>
          </w:p>
        </w:tc>
        <w:tc>
          <w:tcPr>
            <w:tcW w:w="567" w:type="dxa"/>
          </w:tcPr>
          <w:p w14:paraId="6077FFD7" w14:textId="77777777" w:rsidR="0077513D" w:rsidRDefault="0077513D" w:rsidP="0077513D">
            <w:pPr>
              <w:spacing w:beforeLines="20" w:before="48"/>
              <w:jc w:val="center"/>
            </w:pPr>
            <w:r w:rsidRPr="00701F7B">
              <w:sym w:font="Wingdings 2" w:char="F099"/>
            </w:r>
          </w:p>
        </w:tc>
        <w:tc>
          <w:tcPr>
            <w:tcW w:w="567" w:type="dxa"/>
          </w:tcPr>
          <w:p w14:paraId="769EC7C0" w14:textId="77777777" w:rsidR="0077513D" w:rsidRDefault="0077513D" w:rsidP="0077513D">
            <w:pPr>
              <w:spacing w:beforeLines="20" w:before="48"/>
              <w:jc w:val="center"/>
            </w:pPr>
            <w:r w:rsidRPr="00701F7B">
              <w:sym w:font="Wingdings 2" w:char="F099"/>
            </w:r>
          </w:p>
        </w:tc>
        <w:tc>
          <w:tcPr>
            <w:tcW w:w="1096" w:type="dxa"/>
          </w:tcPr>
          <w:p w14:paraId="4461F920" w14:textId="77777777" w:rsidR="0077513D" w:rsidRDefault="0077513D" w:rsidP="0077513D">
            <w:pPr>
              <w:spacing w:beforeLines="20" w:before="48"/>
              <w:jc w:val="center"/>
            </w:pPr>
            <w:r w:rsidRPr="00701F7B">
              <w:sym w:font="Wingdings 2" w:char="F099"/>
            </w:r>
          </w:p>
        </w:tc>
      </w:tr>
      <w:tr w:rsidR="0077513D" w:rsidRPr="000769EC" w14:paraId="6DE7176F" w14:textId="77777777" w:rsidTr="0077513D">
        <w:trPr>
          <w:cnfStyle w:val="000000100000" w:firstRow="0" w:lastRow="0" w:firstColumn="0" w:lastColumn="0" w:oddVBand="0" w:evenVBand="0" w:oddHBand="1" w:evenHBand="0" w:firstRowFirstColumn="0" w:firstRowLastColumn="0" w:lastRowFirstColumn="0" w:lastRowLastColumn="0"/>
        </w:trPr>
        <w:tc>
          <w:tcPr>
            <w:tcW w:w="4644" w:type="dxa"/>
          </w:tcPr>
          <w:p w14:paraId="5BEF5717" w14:textId="77777777" w:rsidR="0077513D" w:rsidRPr="00017CA6" w:rsidRDefault="0077513D" w:rsidP="0077513D">
            <w:pPr>
              <w:spacing w:beforeLines="20" w:before="48"/>
            </w:pPr>
            <w:r w:rsidRPr="00017CA6">
              <w:t xml:space="preserve">Industry and community stakeholders should have input to biosecurity emergency responses (e.g. to responses to Foot and Mouth Disease, Avian Influenza, Myrtle/Eucalyptus Rust) </w:t>
            </w:r>
          </w:p>
        </w:tc>
        <w:tc>
          <w:tcPr>
            <w:tcW w:w="1077" w:type="dxa"/>
          </w:tcPr>
          <w:p w14:paraId="07ECF9C8" w14:textId="77777777" w:rsidR="0077513D" w:rsidRDefault="0077513D" w:rsidP="0077513D">
            <w:pPr>
              <w:spacing w:beforeLines="20" w:before="48"/>
              <w:jc w:val="center"/>
            </w:pPr>
            <w:r w:rsidRPr="00701F7B">
              <w:sym w:font="Wingdings 2" w:char="F099"/>
            </w:r>
          </w:p>
        </w:tc>
        <w:tc>
          <w:tcPr>
            <w:tcW w:w="567" w:type="dxa"/>
          </w:tcPr>
          <w:p w14:paraId="29371AC4" w14:textId="77777777" w:rsidR="0077513D" w:rsidRDefault="0077513D" w:rsidP="0077513D">
            <w:pPr>
              <w:spacing w:beforeLines="20" w:before="48"/>
              <w:jc w:val="center"/>
            </w:pPr>
            <w:r w:rsidRPr="00701F7B">
              <w:sym w:font="Wingdings 2" w:char="F099"/>
            </w:r>
          </w:p>
        </w:tc>
        <w:tc>
          <w:tcPr>
            <w:tcW w:w="567" w:type="dxa"/>
          </w:tcPr>
          <w:p w14:paraId="420A9204" w14:textId="77777777" w:rsidR="0077513D" w:rsidRDefault="0077513D" w:rsidP="0077513D">
            <w:pPr>
              <w:spacing w:beforeLines="20" w:before="48"/>
              <w:jc w:val="center"/>
            </w:pPr>
            <w:r w:rsidRPr="00701F7B">
              <w:sym w:font="Wingdings 2" w:char="F099"/>
            </w:r>
          </w:p>
        </w:tc>
        <w:tc>
          <w:tcPr>
            <w:tcW w:w="1077" w:type="dxa"/>
          </w:tcPr>
          <w:p w14:paraId="2A9081DD" w14:textId="77777777" w:rsidR="0077513D" w:rsidRDefault="0077513D" w:rsidP="0077513D">
            <w:pPr>
              <w:spacing w:beforeLines="20" w:before="48"/>
              <w:jc w:val="center"/>
            </w:pPr>
            <w:r w:rsidRPr="00701F7B">
              <w:sym w:font="Wingdings 2" w:char="F099"/>
            </w:r>
          </w:p>
        </w:tc>
        <w:tc>
          <w:tcPr>
            <w:tcW w:w="567" w:type="dxa"/>
          </w:tcPr>
          <w:p w14:paraId="04D2D008" w14:textId="77777777" w:rsidR="0077513D" w:rsidRDefault="0077513D" w:rsidP="0077513D">
            <w:pPr>
              <w:spacing w:beforeLines="20" w:before="48"/>
              <w:jc w:val="center"/>
            </w:pPr>
            <w:r w:rsidRPr="00701F7B">
              <w:sym w:font="Wingdings 2" w:char="F099"/>
            </w:r>
          </w:p>
        </w:tc>
        <w:tc>
          <w:tcPr>
            <w:tcW w:w="567" w:type="dxa"/>
          </w:tcPr>
          <w:p w14:paraId="26838718" w14:textId="77777777" w:rsidR="0077513D" w:rsidRDefault="0077513D" w:rsidP="0077513D">
            <w:pPr>
              <w:spacing w:beforeLines="20" w:before="48"/>
              <w:jc w:val="center"/>
            </w:pPr>
            <w:r w:rsidRPr="00701F7B">
              <w:sym w:font="Wingdings 2" w:char="F099"/>
            </w:r>
          </w:p>
        </w:tc>
        <w:tc>
          <w:tcPr>
            <w:tcW w:w="1096" w:type="dxa"/>
          </w:tcPr>
          <w:p w14:paraId="1EE26270" w14:textId="77777777" w:rsidR="0077513D" w:rsidRDefault="0077513D" w:rsidP="0077513D">
            <w:pPr>
              <w:spacing w:beforeLines="20" w:before="48"/>
              <w:jc w:val="center"/>
            </w:pPr>
            <w:r w:rsidRPr="00701F7B">
              <w:sym w:font="Wingdings 2" w:char="F099"/>
            </w:r>
          </w:p>
        </w:tc>
      </w:tr>
    </w:tbl>
    <w:p w14:paraId="557AF8BB" w14:textId="77777777" w:rsidR="0077513D" w:rsidRPr="00017CA6" w:rsidRDefault="0077513D" w:rsidP="0077513D">
      <w:pPr>
        <w:spacing w:before="240"/>
      </w:pPr>
      <w:r w:rsidRPr="00017CA6">
        <w:t xml:space="preserve">Comments </w:t>
      </w:r>
    </w:p>
    <w:tbl>
      <w:tblPr>
        <w:tblStyle w:val="TableGrid"/>
        <w:tblW w:w="0" w:type="auto"/>
        <w:tblLook w:val="04A0" w:firstRow="1" w:lastRow="0" w:firstColumn="1" w:lastColumn="0" w:noHBand="0" w:noVBand="1"/>
        <w:tblDescription w:val="Question 10 - Box for comments"/>
      </w:tblPr>
      <w:tblGrid>
        <w:gridCol w:w="10422"/>
      </w:tblGrid>
      <w:tr w:rsidR="0077513D" w14:paraId="79B3ADBC" w14:textId="77777777" w:rsidTr="0077513D">
        <w:trPr>
          <w:cantSplit/>
          <w:trHeight w:val="1504"/>
          <w:tblHeader/>
        </w:trPr>
        <w:tc>
          <w:tcPr>
            <w:tcW w:w="10422" w:type="dxa"/>
            <w:tcBorders>
              <w:top w:val="nil"/>
              <w:left w:val="nil"/>
              <w:bottom w:val="nil"/>
              <w:right w:val="nil"/>
            </w:tcBorders>
            <w:shd w:val="clear" w:color="auto" w:fill="EEECE1" w:themeFill="background2"/>
          </w:tcPr>
          <w:p w14:paraId="69A4FE10" w14:textId="77777777" w:rsidR="0077513D" w:rsidRDefault="0077513D" w:rsidP="0077513D">
            <w:pPr>
              <w:rPr>
                <w:color w:val="999B9E"/>
              </w:rPr>
            </w:pPr>
          </w:p>
        </w:tc>
      </w:tr>
    </w:tbl>
    <w:p w14:paraId="7D1D0426" w14:textId="77777777" w:rsidR="0077513D" w:rsidRPr="00017CA6" w:rsidRDefault="0077513D" w:rsidP="0077513D">
      <w:pPr>
        <w:rPr>
          <w:color w:val="999B9E"/>
        </w:rPr>
      </w:pPr>
    </w:p>
    <w:p w14:paraId="5D351393" w14:textId="77777777" w:rsidR="0077513D" w:rsidRPr="00017CA6" w:rsidRDefault="0077513D" w:rsidP="0077513D">
      <w:pPr>
        <w:spacing w:before="240"/>
      </w:pPr>
    </w:p>
    <w:p w14:paraId="583CCC49" w14:textId="77777777" w:rsidR="0077513D" w:rsidRDefault="0077513D">
      <w:pPr>
        <w:spacing w:after="200" w:line="276" w:lineRule="auto"/>
        <w:rPr>
          <w:b/>
          <w:color w:val="000000" w:themeColor="text1"/>
          <w:sz w:val="24"/>
          <w:szCs w:val="24"/>
        </w:rPr>
      </w:pPr>
      <w:r>
        <w:br w:type="page"/>
      </w:r>
    </w:p>
    <w:p w14:paraId="2F75FD37" w14:textId="77777777" w:rsidR="0077513D" w:rsidRPr="00017CA6" w:rsidRDefault="0077513D" w:rsidP="0077513D">
      <w:pPr>
        <w:pStyle w:val="question"/>
      </w:pPr>
      <w:r w:rsidRPr="00017CA6">
        <w:lastRenderedPageBreak/>
        <w:t xml:space="preserve">11. </w:t>
      </w:r>
      <w:r>
        <w:tab/>
      </w:r>
      <w:r w:rsidRPr="00017CA6">
        <w:t xml:space="preserve">The following have been identified as possible issues or barriers to effective biosecurity in WA. Please indicate to what extent you see these as issues or barriers. </w:t>
      </w:r>
    </w:p>
    <w:tbl>
      <w:tblPr>
        <w:tblStyle w:val="Style1"/>
        <w:tblW w:w="10546" w:type="dxa"/>
        <w:tblLook w:val="04A0" w:firstRow="1" w:lastRow="0" w:firstColumn="1" w:lastColumn="0" w:noHBand="0" w:noVBand="1"/>
        <w:tblDescription w:val="Question 11 possible issues barriers to biosecurity"/>
      </w:tblPr>
      <w:tblGrid>
        <w:gridCol w:w="4817"/>
        <w:gridCol w:w="1141"/>
        <w:gridCol w:w="604"/>
        <w:gridCol w:w="604"/>
        <w:gridCol w:w="970"/>
        <w:gridCol w:w="604"/>
        <w:gridCol w:w="604"/>
        <w:gridCol w:w="1202"/>
      </w:tblGrid>
      <w:tr w:rsidR="0077513D" w:rsidRPr="00C31E22" w14:paraId="3B490C99" w14:textId="77777777" w:rsidTr="0077513D">
        <w:trPr>
          <w:cnfStyle w:val="100000000000" w:firstRow="1" w:lastRow="0" w:firstColumn="0" w:lastColumn="0" w:oddVBand="0" w:evenVBand="0" w:oddHBand="0" w:evenHBand="0" w:firstRowFirstColumn="0" w:firstRowLastColumn="0" w:lastRowFirstColumn="0" w:lastRowLastColumn="0"/>
        </w:trPr>
        <w:tc>
          <w:tcPr>
            <w:tcW w:w="4786" w:type="dxa"/>
          </w:tcPr>
          <w:p w14:paraId="5C7FE1A6" w14:textId="77777777" w:rsidR="0077513D" w:rsidRPr="00C31E22" w:rsidRDefault="0077513D" w:rsidP="0077513D">
            <w:pPr>
              <w:pStyle w:val="question"/>
              <w:spacing w:beforeLines="20" w:before="48"/>
              <w:rPr>
                <w:b w:val="0"/>
              </w:rPr>
            </w:pPr>
          </w:p>
        </w:tc>
        <w:tc>
          <w:tcPr>
            <w:tcW w:w="1134" w:type="dxa"/>
          </w:tcPr>
          <w:p w14:paraId="31007FC3" w14:textId="77777777" w:rsidR="0077513D" w:rsidRPr="00C31E22" w:rsidRDefault="0077513D" w:rsidP="0077513D">
            <w:pPr>
              <w:autoSpaceDE w:val="0"/>
              <w:autoSpaceDN w:val="0"/>
              <w:adjustRightInd w:val="0"/>
              <w:spacing w:beforeLines="20" w:before="48" w:line="240" w:lineRule="auto"/>
              <w:jc w:val="center"/>
            </w:pPr>
            <w:r w:rsidRPr="00C31E22">
              <w:rPr>
                <w:rFonts w:cs="Arial"/>
                <w:color w:val="231F20"/>
              </w:rPr>
              <w:t>1</w:t>
            </w:r>
            <w:r w:rsidRPr="00C31E22">
              <w:rPr>
                <w:rFonts w:cs="Arial"/>
                <w:color w:val="231F20"/>
              </w:rPr>
              <w:br/>
              <w:t>Not at all an issue</w:t>
            </w:r>
          </w:p>
        </w:tc>
        <w:tc>
          <w:tcPr>
            <w:tcW w:w="600" w:type="dxa"/>
          </w:tcPr>
          <w:p w14:paraId="7B32293D" w14:textId="77777777" w:rsidR="0077513D" w:rsidRPr="00C31E22" w:rsidRDefault="0077513D" w:rsidP="0077513D">
            <w:pPr>
              <w:pStyle w:val="question"/>
              <w:spacing w:beforeLines="20" w:before="48"/>
              <w:rPr>
                <w:b w:val="0"/>
              </w:rPr>
            </w:pPr>
            <w:r w:rsidRPr="00C31E22">
              <w:rPr>
                <w:b w:val="0"/>
              </w:rPr>
              <w:t>2</w:t>
            </w:r>
          </w:p>
        </w:tc>
        <w:tc>
          <w:tcPr>
            <w:tcW w:w="600" w:type="dxa"/>
          </w:tcPr>
          <w:p w14:paraId="4E64FB5A" w14:textId="77777777" w:rsidR="0077513D" w:rsidRPr="00C31E22" w:rsidRDefault="0077513D" w:rsidP="0077513D">
            <w:pPr>
              <w:pStyle w:val="question"/>
              <w:spacing w:beforeLines="20" w:before="48"/>
              <w:rPr>
                <w:b w:val="0"/>
              </w:rPr>
            </w:pPr>
            <w:r w:rsidRPr="00C31E22">
              <w:rPr>
                <w:b w:val="0"/>
              </w:rPr>
              <w:t>3</w:t>
            </w:r>
          </w:p>
        </w:tc>
        <w:tc>
          <w:tcPr>
            <w:tcW w:w="964" w:type="dxa"/>
          </w:tcPr>
          <w:p w14:paraId="130B7EA5" w14:textId="77777777" w:rsidR="0077513D" w:rsidRPr="00C31E22" w:rsidRDefault="0077513D" w:rsidP="0077513D">
            <w:pPr>
              <w:autoSpaceDE w:val="0"/>
              <w:autoSpaceDN w:val="0"/>
              <w:adjustRightInd w:val="0"/>
              <w:spacing w:beforeLines="20" w:before="48" w:line="240" w:lineRule="auto"/>
              <w:jc w:val="center"/>
            </w:pPr>
            <w:r w:rsidRPr="00C31E22">
              <w:rPr>
                <w:rFonts w:cs="Arial"/>
                <w:color w:val="231F20"/>
              </w:rPr>
              <w:t>4</w:t>
            </w:r>
            <w:r w:rsidRPr="00C31E22">
              <w:rPr>
                <w:rFonts w:cs="Arial"/>
                <w:color w:val="231F20"/>
              </w:rPr>
              <w:br/>
              <w:t>Unsure</w:t>
            </w:r>
          </w:p>
        </w:tc>
        <w:tc>
          <w:tcPr>
            <w:tcW w:w="600" w:type="dxa"/>
          </w:tcPr>
          <w:p w14:paraId="3B063657" w14:textId="77777777" w:rsidR="0077513D" w:rsidRPr="00C31E22" w:rsidRDefault="0077513D" w:rsidP="0077513D">
            <w:pPr>
              <w:pStyle w:val="question"/>
              <w:spacing w:beforeLines="20" w:before="48"/>
              <w:rPr>
                <w:b w:val="0"/>
              </w:rPr>
            </w:pPr>
            <w:r w:rsidRPr="00C31E22">
              <w:rPr>
                <w:b w:val="0"/>
              </w:rPr>
              <w:t>5</w:t>
            </w:r>
          </w:p>
        </w:tc>
        <w:tc>
          <w:tcPr>
            <w:tcW w:w="600" w:type="dxa"/>
          </w:tcPr>
          <w:p w14:paraId="785F7C7F" w14:textId="77777777" w:rsidR="0077513D" w:rsidRPr="00C31E22" w:rsidRDefault="0077513D" w:rsidP="0077513D">
            <w:pPr>
              <w:pStyle w:val="question"/>
              <w:spacing w:beforeLines="20" w:before="48"/>
              <w:rPr>
                <w:b w:val="0"/>
              </w:rPr>
            </w:pPr>
            <w:r w:rsidRPr="00C31E22">
              <w:rPr>
                <w:b w:val="0"/>
              </w:rPr>
              <w:t>6</w:t>
            </w:r>
          </w:p>
        </w:tc>
        <w:tc>
          <w:tcPr>
            <w:tcW w:w="1134" w:type="dxa"/>
          </w:tcPr>
          <w:p w14:paraId="02380CA0" w14:textId="77777777" w:rsidR="0077513D" w:rsidRPr="00C31E22" w:rsidRDefault="0077513D" w:rsidP="0077513D">
            <w:pPr>
              <w:autoSpaceDE w:val="0"/>
              <w:autoSpaceDN w:val="0"/>
              <w:adjustRightInd w:val="0"/>
              <w:spacing w:beforeLines="20" w:before="48" w:line="240" w:lineRule="auto"/>
              <w:jc w:val="center"/>
            </w:pPr>
            <w:r w:rsidRPr="00C31E22">
              <w:rPr>
                <w:rFonts w:cs="Arial"/>
                <w:color w:val="231F20"/>
              </w:rPr>
              <w:t>7</w:t>
            </w:r>
            <w:r w:rsidRPr="00C31E22">
              <w:rPr>
                <w:rFonts w:cs="Arial"/>
                <w:color w:val="231F20"/>
              </w:rPr>
              <w:br/>
              <w:t>Extremely important issue</w:t>
            </w:r>
          </w:p>
        </w:tc>
      </w:tr>
      <w:tr w:rsidR="0077513D" w:rsidRPr="00B541B0" w14:paraId="03BDC749" w14:textId="77777777" w:rsidTr="0077513D">
        <w:trPr>
          <w:cnfStyle w:val="000000100000" w:firstRow="0" w:lastRow="0" w:firstColumn="0" w:lastColumn="0" w:oddVBand="0" w:evenVBand="0" w:oddHBand="1" w:evenHBand="0" w:firstRowFirstColumn="0" w:firstRowLastColumn="0" w:lastRowFirstColumn="0" w:lastRowLastColumn="0"/>
        </w:trPr>
        <w:tc>
          <w:tcPr>
            <w:tcW w:w="4786" w:type="dxa"/>
          </w:tcPr>
          <w:p w14:paraId="7C752571" w14:textId="77777777" w:rsidR="0077513D" w:rsidRPr="00B541B0" w:rsidRDefault="0077513D" w:rsidP="0077513D">
            <w:pPr>
              <w:spacing w:beforeLines="20" w:before="48"/>
            </w:pPr>
            <w:r w:rsidRPr="00017CA6">
              <w:t xml:space="preserve">Clarity of the role of government agencies, with regard to biosecurity </w:t>
            </w:r>
          </w:p>
        </w:tc>
        <w:tc>
          <w:tcPr>
            <w:tcW w:w="1134" w:type="dxa"/>
          </w:tcPr>
          <w:p w14:paraId="352A6B6B" w14:textId="77777777" w:rsidR="0077513D" w:rsidRDefault="0077513D" w:rsidP="0077513D">
            <w:pPr>
              <w:spacing w:beforeLines="20" w:before="48"/>
              <w:jc w:val="center"/>
            </w:pPr>
            <w:r w:rsidRPr="002F193E">
              <w:sym w:font="Wingdings 2" w:char="F099"/>
            </w:r>
          </w:p>
        </w:tc>
        <w:tc>
          <w:tcPr>
            <w:tcW w:w="600" w:type="dxa"/>
          </w:tcPr>
          <w:p w14:paraId="3767BC04" w14:textId="77777777" w:rsidR="0077513D" w:rsidRDefault="0077513D" w:rsidP="0077513D">
            <w:pPr>
              <w:spacing w:beforeLines="20" w:before="48"/>
              <w:jc w:val="center"/>
            </w:pPr>
            <w:r w:rsidRPr="002F193E">
              <w:sym w:font="Wingdings 2" w:char="F099"/>
            </w:r>
          </w:p>
        </w:tc>
        <w:tc>
          <w:tcPr>
            <w:tcW w:w="600" w:type="dxa"/>
          </w:tcPr>
          <w:p w14:paraId="21A4BE9F" w14:textId="77777777" w:rsidR="0077513D" w:rsidRDefault="0077513D" w:rsidP="0077513D">
            <w:pPr>
              <w:spacing w:beforeLines="20" w:before="48"/>
              <w:jc w:val="center"/>
            </w:pPr>
            <w:r w:rsidRPr="002F193E">
              <w:sym w:font="Wingdings 2" w:char="F099"/>
            </w:r>
          </w:p>
        </w:tc>
        <w:tc>
          <w:tcPr>
            <w:tcW w:w="964" w:type="dxa"/>
          </w:tcPr>
          <w:p w14:paraId="48319315" w14:textId="77777777" w:rsidR="0077513D" w:rsidRDefault="0077513D" w:rsidP="0077513D">
            <w:pPr>
              <w:spacing w:beforeLines="20" w:before="48"/>
              <w:jc w:val="center"/>
            </w:pPr>
            <w:r w:rsidRPr="002F193E">
              <w:sym w:font="Wingdings 2" w:char="F099"/>
            </w:r>
          </w:p>
        </w:tc>
        <w:tc>
          <w:tcPr>
            <w:tcW w:w="600" w:type="dxa"/>
          </w:tcPr>
          <w:p w14:paraId="30E464BF" w14:textId="77777777" w:rsidR="0077513D" w:rsidRDefault="0077513D" w:rsidP="0077513D">
            <w:pPr>
              <w:spacing w:beforeLines="20" w:before="48"/>
              <w:jc w:val="center"/>
            </w:pPr>
            <w:r w:rsidRPr="002F193E">
              <w:sym w:font="Wingdings 2" w:char="F099"/>
            </w:r>
          </w:p>
        </w:tc>
        <w:tc>
          <w:tcPr>
            <w:tcW w:w="600" w:type="dxa"/>
          </w:tcPr>
          <w:p w14:paraId="44F9BE3D" w14:textId="77777777" w:rsidR="0077513D" w:rsidRDefault="0077513D" w:rsidP="0077513D">
            <w:pPr>
              <w:spacing w:beforeLines="20" w:before="48"/>
              <w:jc w:val="center"/>
            </w:pPr>
            <w:r w:rsidRPr="002F193E">
              <w:sym w:font="Wingdings 2" w:char="F099"/>
            </w:r>
          </w:p>
        </w:tc>
        <w:tc>
          <w:tcPr>
            <w:tcW w:w="1134" w:type="dxa"/>
          </w:tcPr>
          <w:p w14:paraId="3C04159C" w14:textId="77777777" w:rsidR="0077513D" w:rsidRDefault="0077513D" w:rsidP="0077513D">
            <w:pPr>
              <w:spacing w:beforeLines="20" w:before="48"/>
              <w:jc w:val="center"/>
            </w:pPr>
            <w:r w:rsidRPr="002F193E">
              <w:sym w:font="Wingdings 2" w:char="F099"/>
            </w:r>
          </w:p>
        </w:tc>
      </w:tr>
      <w:tr w:rsidR="0077513D" w:rsidRPr="00B541B0" w14:paraId="37042918" w14:textId="77777777" w:rsidTr="0077513D">
        <w:tc>
          <w:tcPr>
            <w:tcW w:w="4786" w:type="dxa"/>
          </w:tcPr>
          <w:p w14:paraId="2292E52F" w14:textId="77777777" w:rsidR="0077513D" w:rsidRPr="00B541B0" w:rsidRDefault="0077513D" w:rsidP="0077513D">
            <w:pPr>
              <w:spacing w:beforeLines="20" w:before="48"/>
            </w:pPr>
            <w:r w:rsidRPr="00017CA6">
              <w:t xml:space="preserve">Clarity of the role of industry, with regard to biosecurity </w:t>
            </w:r>
          </w:p>
        </w:tc>
        <w:tc>
          <w:tcPr>
            <w:tcW w:w="1134" w:type="dxa"/>
          </w:tcPr>
          <w:p w14:paraId="786EEF3F" w14:textId="77777777" w:rsidR="0077513D" w:rsidRDefault="0077513D" w:rsidP="0077513D">
            <w:pPr>
              <w:spacing w:beforeLines="20" w:before="48"/>
              <w:jc w:val="center"/>
            </w:pPr>
            <w:r w:rsidRPr="002F193E">
              <w:sym w:font="Wingdings 2" w:char="F099"/>
            </w:r>
          </w:p>
        </w:tc>
        <w:tc>
          <w:tcPr>
            <w:tcW w:w="600" w:type="dxa"/>
          </w:tcPr>
          <w:p w14:paraId="52DD4669" w14:textId="77777777" w:rsidR="0077513D" w:rsidRDefault="0077513D" w:rsidP="0077513D">
            <w:pPr>
              <w:spacing w:beforeLines="20" w:before="48"/>
              <w:jc w:val="center"/>
            </w:pPr>
            <w:r w:rsidRPr="002F193E">
              <w:sym w:font="Wingdings 2" w:char="F099"/>
            </w:r>
          </w:p>
        </w:tc>
        <w:tc>
          <w:tcPr>
            <w:tcW w:w="600" w:type="dxa"/>
          </w:tcPr>
          <w:p w14:paraId="0DE3142C" w14:textId="77777777" w:rsidR="0077513D" w:rsidRDefault="0077513D" w:rsidP="0077513D">
            <w:pPr>
              <w:spacing w:beforeLines="20" w:before="48"/>
              <w:jc w:val="center"/>
            </w:pPr>
            <w:r w:rsidRPr="002F193E">
              <w:sym w:font="Wingdings 2" w:char="F099"/>
            </w:r>
          </w:p>
        </w:tc>
        <w:tc>
          <w:tcPr>
            <w:tcW w:w="964" w:type="dxa"/>
          </w:tcPr>
          <w:p w14:paraId="5B899048" w14:textId="77777777" w:rsidR="0077513D" w:rsidRDefault="0077513D" w:rsidP="0077513D">
            <w:pPr>
              <w:spacing w:beforeLines="20" w:before="48"/>
              <w:jc w:val="center"/>
            </w:pPr>
            <w:r w:rsidRPr="002F193E">
              <w:sym w:font="Wingdings 2" w:char="F099"/>
            </w:r>
          </w:p>
        </w:tc>
        <w:tc>
          <w:tcPr>
            <w:tcW w:w="600" w:type="dxa"/>
          </w:tcPr>
          <w:p w14:paraId="4771121E" w14:textId="77777777" w:rsidR="0077513D" w:rsidRDefault="0077513D" w:rsidP="0077513D">
            <w:pPr>
              <w:spacing w:beforeLines="20" w:before="48"/>
              <w:jc w:val="center"/>
            </w:pPr>
            <w:r w:rsidRPr="002F193E">
              <w:sym w:font="Wingdings 2" w:char="F099"/>
            </w:r>
          </w:p>
        </w:tc>
        <w:tc>
          <w:tcPr>
            <w:tcW w:w="600" w:type="dxa"/>
          </w:tcPr>
          <w:p w14:paraId="57D0DB52" w14:textId="77777777" w:rsidR="0077513D" w:rsidRDefault="0077513D" w:rsidP="0077513D">
            <w:pPr>
              <w:spacing w:beforeLines="20" w:before="48"/>
              <w:jc w:val="center"/>
            </w:pPr>
            <w:r w:rsidRPr="002F193E">
              <w:sym w:font="Wingdings 2" w:char="F099"/>
            </w:r>
          </w:p>
        </w:tc>
        <w:tc>
          <w:tcPr>
            <w:tcW w:w="1134" w:type="dxa"/>
          </w:tcPr>
          <w:p w14:paraId="027AAB24" w14:textId="77777777" w:rsidR="0077513D" w:rsidRDefault="0077513D" w:rsidP="0077513D">
            <w:pPr>
              <w:spacing w:beforeLines="20" w:before="48"/>
              <w:jc w:val="center"/>
            </w:pPr>
            <w:r w:rsidRPr="002F193E">
              <w:sym w:font="Wingdings 2" w:char="F099"/>
            </w:r>
          </w:p>
        </w:tc>
      </w:tr>
      <w:tr w:rsidR="0077513D" w:rsidRPr="00B541B0" w14:paraId="32DAFCBA" w14:textId="77777777" w:rsidTr="0077513D">
        <w:trPr>
          <w:cnfStyle w:val="000000100000" w:firstRow="0" w:lastRow="0" w:firstColumn="0" w:lastColumn="0" w:oddVBand="0" w:evenVBand="0" w:oddHBand="1" w:evenHBand="0" w:firstRowFirstColumn="0" w:firstRowLastColumn="0" w:lastRowFirstColumn="0" w:lastRowLastColumn="0"/>
        </w:trPr>
        <w:tc>
          <w:tcPr>
            <w:tcW w:w="4786" w:type="dxa"/>
          </w:tcPr>
          <w:p w14:paraId="35A94D39" w14:textId="77777777" w:rsidR="0077513D" w:rsidRPr="00B541B0" w:rsidRDefault="0077513D" w:rsidP="0077513D">
            <w:pPr>
              <w:spacing w:beforeLines="20" w:before="48"/>
            </w:pPr>
            <w:r w:rsidRPr="00017CA6">
              <w:t xml:space="preserve">Clarity of the role of community, with regard to biosecurity </w:t>
            </w:r>
          </w:p>
        </w:tc>
        <w:tc>
          <w:tcPr>
            <w:tcW w:w="1134" w:type="dxa"/>
          </w:tcPr>
          <w:p w14:paraId="3B044379" w14:textId="77777777" w:rsidR="0077513D" w:rsidRDefault="0077513D" w:rsidP="0077513D">
            <w:pPr>
              <w:spacing w:beforeLines="20" w:before="48"/>
              <w:jc w:val="center"/>
            </w:pPr>
            <w:r w:rsidRPr="002F193E">
              <w:sym w:font="Wingdings 2" w:char="F099"/>
            </w:r>
          </w:p>
        </w:tc>
        <w:tc>
          <w:tcPr>
            <w:tcW w:w="600" w:type="dxa"/>
          </w:tcPr>
          <w:p w14:paraId="2D9D428A" w14:textId="77777777" w:rsidR="0077513D" w:rsidRDefault="0077513D" w:rsidP="0077513D">
            <w:pPr>
              <w:spacing w:beforeLines="20" w:before="48"/>
              <w:jc w:val="center"/>
            </w:pPr>
            <w:r w:rsidRPr="002F193E">
              <w:sym w:font="Wingdings 2" w:char="F099"/>
            </w:r>
          </w:p>
        </w:tc>
        <w:tc>
          <w:tcPr>
            <w:tcW w:w="600" w:type="dxa"/>
          </w:tcPr>
          <w:p w14:paraId="050E69D9" w14:textId="77777777" w:rsidR="0077513D" w:rsidRDefault="0077513D" w:rsidP="0077513D">
            <w:pPr>
              <w:spacing w:beforeLines="20" w:before="48"/>
              <w:jc w:val="center"/>
            </w:pPr>
            <w:r w:rsidRPr="002F193E">
              <w:sym w:font="Wingdings 2" w:char="F099"/>
            </w:r>
          </w:p>
        </w:tc>
        <w:tc>
          <w:tcPr>
            <w:tcW w:w="964" w:type="dxa"/>
          </w:tcPr>
          <w:p w14:paraId="14FF68C6" w14:textId="77777777" w:rsidR="0077513D" w:rsidRDefault="0077513D" w:rsidP="0077513D">
            <w:pPr>
              <w:spacing w:beforeLines="20" w:before="48"/>
              <w:jc w:val="center"/>
            </w:pPr>
            <w:r w:rsidRPr="002F193E">
              <w:sym w:font="Wingdings 2" w:char="F099"/>
            </w:r>
          </w:p>
        </w:tc>
        <w:tc>
          <w:tcPr>
            <w:tcW w:w="600" w:type="dxa"/>
          </w:tcPr>
          <w:p w14:paraId="25633D96" w14:textId="77777777" w:rsidR="0077513D" w:rsidRDefault="0077513D" w:rsidP="0077513D">
            <w:pPr>
              <w:spacing w:beforeLines="20" w:before="48"/>
              <w:jc w:val="center"/>
            </w:pPr>
            <w:r w:rsidRPr="002F193E">
              <w:sym w:font="Wingdings 2" w:char="F099"/>
            </w:r>
          </w:p>
        </w:tc>
        <w:tc>
          <w:tcPr>
            <w:tcW w:w="600" w:type="dxa"/>
          </w:tcPr>
          <w:p w14:paraId="6B3E6C2C" w14:textId="77777777" w:rsidR="0077513D" w:rsidRDefault="0077513D" w:rsidP="0077513D">
            <w:pPr>
              <w:spacing w:beforeLines="20" w:before="48"/>
              <w:jc w:val="center"/>
            </w:pPr>
            <w:r w:rsidRPr="002F193E">
              <w:sym w:font="Wingdings 2" w:char="F099"/>
            </w:r>
          </w:p>
        </w:tc>
        <w:tc>
          <w:tcPr>
            <w:tcW w:w="1134" w:type="dxa"/>
          </w:tcPr>
          <w:p w14:paraId="54C8B52A" w14:textId="77777777" w:rsidR="0077513D" w:rsidRDefault="0077513D" w:rsidP="0077513D">
            <w:pPr>
              <w:spacing w:beforeLines="20" w:before="48"/>
              <w:jc w:val="center"/>
            </w:pPr>
            <w:r w:rsidRPr="002F193E">
              <w:sym w:font="Wingdings 2" w:char="F099"/>
            </w:r>
          </w:p>
        </w:tc>
      </w:tr>
      <w:tr w:rsidR="0077513D" w:rsidRPr="00B541B0" w14:paraId="4FBDBE75" w14:textId="77777777" w:rsidTr="0077513D">
        <w:tc>
          <w:tcPr>
            <w:tcW w:w="4786" w:type="dxa"/>
          </w:tcPr>
          <w:p w14:paraId="161E37B3" w14:textId="77777777" w:rsidR="0077513D" w:rsidRPr="00B541B0" w:rsidRDefault="0077513D" w:rsidP="0077513D">
            <w:pPr>
              <w:spacing w:beforeLines="20" w:before="48"/>
            </w:pPr>
            <w:r w:rsidRPr="00017CA6">
              <w:t xml:space="preserve">Government communication about biosecurity Industry communication about biosecurity </w:t>
            </w:r>
          </w:p>
        </w:tc>
        <w:tc>
          <w:tcPr>
            <w:tcW w:w="1134" w:type="dxa"/>
          </w:tcPr>
          <w:p w14:paraId="204B967C" w14:textId="77777777" w:rsidR="0077513D" w:rsidRDefault="0077513D" w:rsidP="0077513D">
            <w:pPr>
              <w:spacing w:beforeLines="20" w:before="48"/>
              <w:jc w:val="center"/>
            </w:pPr>
            <w:r w:rsidRPr="002F193E">
              <w:sym w:font="Wingdings 2" w:char="F099"/>
            </w:r>
          </w:p>
        </w:tc>
        <w:tc>
          <w:tcPr>
            <w:tcW w:w="600" w:type="dxa"/>
          </w:tcPr>
          <w:p w14:paraId="0ED8DF54" w14:textId="77777777" w:rsidR="0077513D" w:rsidRDefault="0077513D" w:rsidP="0077513D">
            <w:pPr>
              <w:spacing w:beforeLines="20" w:before="48"/>
              <w:jc w:val="center"/>
            </w:pPr>
            <w:r w:rsidRPr="002F193E">
              <w:sym w:font="Wingdings 2" w:char="F099"/>
            </w:r>
          </w:p>
        </w:tc>
        <w:tc>
          <w:tcPr>
            <w:tcW w:w="600" w:type="dxa"/>
          </w:tcPr>
          <w:p w14:paraId="30FC498C" w14:textId="77777777" w:rsidR="0077513D" w:rsidRDefault="0077513D" w:rsidP="0077513D">
            <w:pPr>
              <w:spacing w:beforeLines="20" w:before="48"/>
              <w:jc w:val="center"/>
            </w:pPr>
            <w:r w:rsidRPr="002F193E">
              <w:sym w:font="Wingdings 2" w:char="F099"/>
            </w:r>
          </w:p>
        </w:tc>
        <w:tc>
          <w:tcPr>
            <w:tcW w:w="964" w:type="dxa"/>
          </w:tcPr>
          <w:p w14:paraId="599E43E5" w14:textId="77777777" w:rsidR="0077513D" w:rsidRDefault="0077513D" w:rsidP="0077513D">
            <w:pPr>
              <w:spacing w:beforeLines="20" w:before="48"/>
              <w:jc w:val="center"/>
            </w:pPr>
            <w:r w:rsidRPr="002F193E">
              <w:sym w:font="Wingdings 2" w:char="F099"/>
            </w:r>
          </w:p>
        </w:tc>
        <w:tc>
          <w:tcPr>
            <w:tcW w:w="600" w:type="dxa"/>
          </w:tcPr>
          <w:p w14:paraId="279F7F56" w14:textId="77777777" w:rsidR="0077513D" w:rsidRDefault="0077513D" w:rsidP="0077513D">
            <w:pPr>
              <w:spacing w:beforeLines="20" w:before="48"/>
              <w:jc w:val="center"/>
            </w:pPr>
            <w:r w:rsidRPr="002F193E">
              <w:sym w:font="Wingdings 2" w:char="F099"/>
            </w:r>
          </w:p>
        </w:tc>
        <w:tc>
          <w:tcPr>
            <w:tcW w:w="600" w:type="dxa"/>
          </w:tcPr>
          <w:p w14:paraId="2CE4C33C" w14:textId="77777777" w:rsidR="0077513D" w:rsidRDefault="0077513D" w:rsidP="0077513D">
            <w:pPr>
              <w:spacing w:beforeLines="20" w:before="48"/>
              <w:jc w:val="center"/>
            </w:pPr>
            <w:r w:rsidRPr="002F193E">
              <w:sym w:font="Wingdings 2" w:char="F099"/>
            </w:r>
          </w:p>
        </w:tc>
        <w:tc>
          <w:tcPr>
            <w:tcW w:w="1134" w:type="dxa"/>
          </w:tcPr>
          <w:p w14:paraId="5F22A917" w14:textId="77777777" w:rsidR="0077513D" w:rsidRDefault="0077513D" w:rsidP="0077513D">
            <w:pPr>
              <w:spacing w:beforeLines="20" w:before="48"/>
              <w:jc w:val="center"/>
            </w:pPr>
            <w:r w:rsidRPr="002F193E">
              <w:sym w:font="Wingdings 2" w:char="F099"/>
            </w:r>
          </w:p>
        </w:tc>
      </w:tr>
      <w:tr w:rsidR="0077513D" w:rsidRPr="00B541B0" w14:paraId="2E91EA3D" w14:textId="77777777" w:rsidTr="0077513D">
        <w:trPr>
          <w:cnfStyle w:val="000000100000" w:firstRow="0" w:lastRow="0" w:firstColumn="0" w:lastColumn="0" w:oddVBand="0" w:evenVBand="0" w:oddHBand="1" w:evenHBand="0" w:firstRowFirstColumn="0" w:firstRowLastColumn="0" w:lastRowFirstColumn="0" w:lastRowLastColumn="0"/>
        </w:trPr>
        <w:tc>
          <w:tcPr>
            <w:tcW w:w="4786" w:type="dxa"/>
          </w:tcPr>
          <w:p w14:paraId="3D4065F2" w14:textId="77777777" w:rsidR="0077513D" w:rsidRPr="00B541B0" w:rsidRDefault="0077513D" w:rsidP="0077513D">
            <w:pPr>
              <w:spacing w:beforeLines="20" w:before="48"/>
            </w:pPr>
            <w:r w:rsidRPr="00017CA6">
              <w:t xml:space="preserve">Access to biosecurity information </w:t>
            </w:r>
          </w:p>
        </w:tc>
        <w:tc>
          <w:tcPr>
            <w:tcW w:w="1134" w:type="dxa"/>
          </w:tcPr>
          <w:p w14:paraId="6A93CDC7" w14:textId="77777777" w:rsidR="0077513D" w:rsidRDefault="0077513D" w:rsidP="0077513D">
            <w:pPr>
              <w:spacing w:beforeLines="20" w:before="48"/>
              <w:jc w:val="center"/>
            </w:pPr>
            <w:r w:rsidRPr="002F193E">
              <w:sym w:font="Wingdings 2" w:char="F099"/>
            </w:r>
          </w:p>
        </w:tc>
        <w:tc>
          <w:tcPr>
            <w:tcW w:w="600" w:type="dxa"/>
          </w:tcPr>
          <w:p w14:paraId="434A3577" w14:textId="77777777" w:rsidR="0077513D" w:rsidRDefault="0077513D" w:rsidP="0077513D">
            <w:pPr>
              <w:spacing w:beforeLines="20" w:before="48"/>
              <w:jc w:val="center"/>
            </w:pPr>
            <w:r w:rsidRPr="002F193E">
              <w:sym w:font="Wingdings 2" w:char="F099"/>
            </w:r>
          </w:p>
        </w:tc>
        <w:tc>
          <w:tcPr>
            <w:tcW w:w="600" w:type="dxa"/>
          </w:tcPr>
          <w:p w14:paraId="10F1FED5" w14:textId="77777777" w:rsidR="0077513D" w:rsidRDefault="0077513D" w:rsidP="0077513D">
            <w:pPr>
              <w:spacing w:beforeLines="20" w:before="48"/>
              <w:jc w:val="center"/>
            </w:pPr>
            <w:r w:rsidRPr="002F193E">
              <w:sym w:font="Wingdings 2" w:char="F099"/>
            </w:r>
          </w:p>
        </w:tc>
        <w:tc>
          <w:tcPr>
            <w:tcW w:w="964" w:type="dxa"/>
          </w:tcPr>
          <w:p w14:paraId="2EC9FABC" w14:textId="77777777" w:rsidR="0077513D" w:rsidRDefault="0077513D" w:rsidP="0077513D">
            <w:pPr>
              <w:spacing w:beforeLines="20" w:before="48"/>
              <w:jc w:val="center"/>
            </w:pPr>
            <w:r w:rsidRPr="002F193E">
              <w:sym w:font="Wingdings 2" w:char="F099"/>
            </w:r>
          </w:p>
        </w:tc>
        <w:tc>
          <w:tcPr>
            <w:tcW w:w="600" w:type="dxa"/>
          </w:tcPr>
          <w:p w14:paraId="15A4D178" w14:textId="77777777" w:rsidR="0077513D" w:rsidRDefault="0077513D" w:rsidP="0077513D">
            <w:pPr>
              <w:spacing w:beforeLines="20" w:before="48"/>
              <w:jc w:val="center"/>
            </w:pPr>
            <w:r w:rsidRPr="002F193E">
              <w:sym w:font="Wingdings 2" w:char="F099"/>
            </w:r>
          </w:p>
        </w:tc>
        <w:tc>
          <w:tcPr>
            <w:tcW w:w="600" w:type="dxa"/>
          </w:tcPr>
          <w:p w14:paraId="6F04B3E5" w14:textId="77777777" w:rsidR="0077513D" w:rsidRDefault="0077513D" w:rsidP="0077513D">
            <w:pPr>
              <w:spacing w:beforeLines="20" w:before="48"/>
              <w:jc w:val="center"/>
            </w:pPr>
            <w:r w:rsidRPr="002F193E">
              <w:sym w:font="Wingdings 2" w:char="F099"/>
            </w:r>
          </w:p>
        </w:tc>
        <w:tc>
          <w:tcPr>
            <w:tcW w:w="1134" w:type="dxa"/>
          </w:tcPr>
          <w:p w14:paraId="22764716" w14:textId="77777777" w:rsidR="0077513D" w:rsidRDefault="0077513D" w:rsidP="0077513D">
            <w:pPr>
              <w:spacing w:beforeLines="20" w:before="48"/>
              <w:jc w:val="center"/>
            </w:pPr>
            <w:r w:rsidRPr="002F193E">
              <w:sym w:font="Wingdings 2" w:char="F099"/>
            </w:r>
          </w:p>
        </w:tc>
      </w:tr>
      <w:tr w:rsidR="0077513D" w:rsidRPr="00B541B0" w14:paraId="24B81AEC" w14:textId="77777777" w:rsidTr="0077513D">
        <w:tc>
          <w:tcPr>
            <w:tcW w:w="4786" w:type="dxa"/>
          </w:tcPr>
          <w:p w14:paraId="2ED3F86F" w14:textId="77777777" w:rsidR="0077513D" w:rsidRPr="00B541B0" w:rsidRDefault="0077513D" w:rsidP="0077513D">
            <w:pPr>
              <w:spacing w:beforeLines="20" w:before="48"/>
            </w:pPr>
            <w:r w:rsidRPr="00017CA6">
              <w:t xml:space="preserve">Knowing who to contact to report biosecurity-related issues </w:t>
            </w:r>
          </w:p>
        </w:tc>
        <w:tc>
          <w:tcPr>
            <w:tcW w:w="1134" w:type="dxa"/>
          </w:tcPr>
          <w:p w14:paraId="14EE7EBD" w14:textId="77777777" w:rsidR="0077513D" w:rsidRDefault="0077513D" w:rsidP="0077513D">
            <w:pPr>
              <w:spacing w:beforeLines="20" w:before="48"/>
              <w:jc w:val="center"/>
            </w:pPr>
            <w:r w:rsidRPr="002F193E">
              <w:sym w:font="Wingdings 2" w:char="F099"/>
            </w:r>
          </w:p>
        </w:tc>
        <w:tc>
          <w:tcPr>
            <w:tcW w:w="600" w:type="dxa"/>
          </w:tcPr>
          <w:p w14:paraId="1C80C5EB" w14:textId="77777777" w:rsidR="0077513D" w:rsidRDefault="0077513D" w:rsidP="0077513D">
            <w:pPr>
              <w:spacing w:beforeLines="20" w:before="48"/>
              <w:jc w:val="center"/>
            </w:pPr>
            <w:r w:rsidRPr="002F193E">
              <w:sym w:font="Wingdings 2" w:char="F099"/>
            </w:r>
          </w:p>
        </w:tc>
        <w:tc>
          <w:tcPr>
            <w:tcW w:w="600" w:type="dxa"/>
          </w:tcPr>
          <w:p w14:paraId="13359720" w14:textId="77777777" w:rsidR="0077513D" w:rsidRDefault="0077513D" w:rsidP="0077513D">
            <w:pPr>
              <w:spacing w:beforeLines="20" w:before="48"/>
              <w:jc w:val="center"/>
            </w:pPr>
            <w:r w:rsidRPr="002F193E">
              <w:sym w:font="Wingdings 2" w:char="F099"/>
            </w:r>
          </w:p>
        </w:tc>
        <w:tc>
          <w:tcPr>
            <w:tcW w:w="964" w:type="dxa"/>
          </w:tcPr>
          <w:p w14:paraId="09F3566F" w14:textId="77777777" w:rsidR="0077513D" w:rsidRDefault="0077513D" w:rsidP="0077513D">
            <w:pPr>
              <w:spacing w:beforeLines="20" w:before="48"/>
              <w:jc w:val="center"/>
            </w:pPr>
            <w:r w:rsidRPr="002F193E">
              <w:sym w:font="Wingdings 2" w:char="F099"/>
            </w:r>
          </w:p>
        </w:tc>
        <w:tc>
          <w:tcPr>
            <w:tcW w:w="600" w:type="dxa"/>
          </w:tcPr>
          <w:p w14:paraId="57478F74" w14:textId="77777777" w:rsidR="0077513D" w:rsidRDefault="0077513D" w:rsidP="0077513D">
            <w:pPr>
              <w:spacing w:beforeLines="20" w:before="48"/>
              <w:jc w:val="center"/>
            </w:pPr>
            <w:r w:rsidRPr="002F193E">
              <w:sym w:font="Wingdings 2" w:char="F099"/>
            </w:r>
          </w:p>
        </w:tc>
        <w:tc>
          <w:tcPr>
            <w:tcW w:w="600" w:type="dxa"/>
          </w:tcPr>
          <w:p w14:paraId="6F5738A5" w14:textId="77777777" w:rsidR="0077513D" w:rsidRDefault="0077513D" w:rsidP="0077513D">
            <w:pPr>
              <w:spacing w:beforeLines="20" w:before="48"/>
              <w:jc w:val="center"/>
            </w:pPr>
            <w:r w:rsidRPr="002F193E">
              <w:sym w:font="Wingdings 2" w:char="F099"/>
            </w:r>
          </w:p>
        </w:tc>
        <w:tc>
          <w:tcPr>
            <w:tcW w:w="1134" w:type="dxa"/>
          </w:tcPr>
          <w:p w14:paraId="0024F42D" w14:textId="77777777" w:rsidR="0077513D" w:rsidRDefault="0077513D" w:rsidP="0077513D">
            <w:pPr>
              <w:spacing w:beforeLines="20" w:before="48"/>
              <w:jc w:val="center"/>
            </w:pPr>
            <w:r w:rsidRPr="002F193E">
              <w:sym w:font="Wingdings 2" w:char="F099"/>
            </w:r>
          </w:p>
        </w:tc>
      </w:tr>
      <w:tr w:rsidR="0077513D" w:rsidRPr="00B541B0" w14:paraId="046B4645" w14:textId="77777777" w:rsidTr="0077513D">
        <w:trPr>
          <w:cnfStyle w:val="000000100000" w:firstRow="0" w:lastRow="0" w:firstColumn="0" w:lastColumn="0" w:oddVBand="0" w:evenVBand="0" w:oddHBand="1" w:evenHBand="0" w:firstRowFirstColumn="0" w:firstRowLastColumn="0" w:lastRowFirstColumn="0" w:lastRowLastColumn="0"/>
        </w:trPr>
        <w:tc>
          <w:tcPr>
            <w:tcW w:w="4786" w:type="dxa"/>
          </w:tcPr>
          <w:p w14:paraId="45ED8888" w14:textId="77777777" w:rsidR="0077513D" w:rsidRPr="00B541B0" w:rsidRDefault="0077513D" w:rsidP="0077513D">
            <w:pPr>
              <w:spacing w:beforeLines="20" w:before="48"/>
            </w:pPr>
            <w:r w:rsidRPr="00017CA6">
              <w:t xml:space="preserve">Collaboration between government and industry on biosecurity </w:t>
            </w:r>
          </w:p>
        </w:tc>
        <w:tc>
          <w:tcPr>
            <w:tcW w:w="1134" w:type="dxa"/>
          </w:tcPr>
          <w:p w14:paraId="449BA57E" w14:textId="77777777" w:rsidR="0077513D" w:rsidRDefault="0077513D" w:rsidP="0077513D">
            <w:pPr>
              <w:spacing w:beforeLines="20" w:before="48"/>
              <w:jc w:val="center"/>
            </w:pPr>
            <w:r w:rsidRPr="002F193E">
              <w:sym w:font="Wingdings 2" w:char="F099"/>
            </w:r>
          </w:p>
        </w:tc>
        <w:tc>
          <w:tcPr>
            <w:tcW w:w="600" w:type="dxa"/>
          </w:tcPr>
          <w:p w14:paraId="2228B5AE" w14:textId="77777777" w:rsidR="0077513D" w:rsidRDefault="0077513D" w:rsidP="0077513D">
            <w:pPr>
              <w:spacing w:beforeLines="20" w:before="48"/>
              <w:jc w:val="center"/>
            </w:pPr>
            <w:r w:rsidRPr="002F193E">
              <w:sym w:font="Wingdings 2" w:char="F099"/>
            </w:r>
          </w:p>
        </w:tc>
        <w:tc>
          <w:tcPr>
            <w:tcW w:w="600" w:type="dxa"/>
          </w:tcPr>
          <w:p w14:paraId="0ECEA510" w14:textId="77777777" w:rsidR="0077513D" w:rsidRDefault="0077513D" w:rsidP="0077513D">
            <w:pPr>
              <w:spacing w:beforeLines="20" w:before="48"/>
              <w:jc w:val="center"/>
            </w:pPr>
            <w:r w:rsidRPr="002F193E">
              <w:sym w:font="Wingdings 2" w:char="F099"/>
            </w:r>
          </w:p>
        </w:tc>
        <w:tc>
          <w:tcPr>
            <w:tcW w:w="964" w:type="dxa"/>
          </w:tcPr>
          <w:p w14:paraId="289F09EA" w14:textId="77777777" w:rsidR="0077513D" w:rsidRDefault="0077513D" w:rsidP="0077513D">
            <w:pPr>
              <w:spacing w:beforeLines="20" w:before="48"/>
              <w:jc w:val="center"/>
            </w:pPr>
            <w:r w:rsidRPr="002F193E">
              <w:sym w:font="Wingdings 2" w:char="F099"/>
            </w:r>
          </w:p>
        </w:tc>
        <w:tc>
          <w:tcPr>
            <w:tcW w:w="600" w:type="dxa"/>
          </w:tcPr>
          <w:p w14:paraId="784C2B33" w14:textId="77777777" w:rsidR="0077513D" w:rsidRDefault="0077513D" w:rsidP="0077513D">
            <w:pPr>
              <w:spacing w:beforeLines="20" w:before="48"/>
              <w:jc w:val="center"/>
            </w:pPr>
            <w:r w:rsidRPr="002F193E">
              <w:sym w:font="Wingdings 2" w:char="F099"/>
            </w:r>
          </w:p>
        </w:tc>
        <w:tc>
          <w:tcPr>
            <w:tcW w:w="600" w:type="dxa"/>
          </w:tcPr>
          <w:p w14:paraId="1D223186" w14:textId="77777777" w:rsidR="0077513D" w:rsidRDefault="0077513D" w:rsidP="0077513D">
            <w:pPr>
              <w:spacing w:beforeLines="20" w:before="48"/>
              <w:jc w:val="center"/>
            </w:pPr>
            <w:r w:rsidRPr="002F193E">
              <w:sym w:font="Wingdings 2" w:char="F099"/>
            </w:r>
          </w:p>
        </w:tc>
        <w:tc>
          <w:tcPr>
            <w:tcW w:w="1134" w:type="dxa"/>
          </w:tcPr>
          <w:p w14:paraId="43D2AE08" w14:textId="77777777" w:rsidR="0077513D" w:rsidRDefault="0077513D" w:rsidP="0077513D">
            <w:pPr>
              <w:spacing w:beforeLines="20" w:before="48"/>
              <w:jc w:val="center"/>
            </w:pPr>
            <w:r w:rsidRPr="002F193E">
              <w:sym w:font="Wingdings 2" w:char="F099"/>
            </w:r>
          </w:p>
        </w:tc>
      </w:tr>
      <w:tr w:rsidR="0077513D" w:rsidRPr="00B541B0" w14:paraId="0FEEDE49" w14:textId="77777777" w:rsidTr="0077513D">
        <w:tc>
          <w:tcPr>
            <w:tcW w:w="4786" w:type="dxa"/>
          </w:tcPr>
          <w:p w14:paraId="227384FB" w14:textId="77777777" w:rsidR="0077513D" w:rsidRPr="00017CA6" w:rsidRDefault="0077513D" w:rsidP="0077513D">
            <w:pPr>
              <w:spacing w:beforeLines="20" w:before="48"/>
            </w:pPr>
            <w:r w:rsidRPr="00017CA6">
              <w:t xml:space="preserve">The general community's level of knowledge about biosecurity </w:t>
            </w:r>
          </w:p>
        </w:tc>
        <w:tc>
          <w:tcPr>
            <w:tcW w:w="1134" w:type="dxa"/>
          </w:tcPr>
          <w:p w14:paraId="44C168B3" w14:textId="77777777" w:rsidR="0077513D" w:rsidRDefault="0077513D" w:rsidP="0077513D">
            <w:pPr>
              <w:spacing w:beforeLines="20" w:before="48"/>
              <w:jc w:val="center"/>
            </w:pPr>
            <w:r w:rsidRPr="002F193E">
              <w:sym w:font="Wingdings 2" w:char="F099"/>
            </w:r>
          </w:p>
        </w:tc>
        <w:tc>
          <w:tcPr>
            <w:tcW w:w="600" w:type="dxa"/>
          </w:tcPr>
          <w:p w14:paraId="4ADA7ADC" w14:textId="77777777" w:rsidR="0077513D" w:rsidRDefault="0077513D" w:rsidP="0077513D">
            <w:pPr>
              <w:spacing w:beforeLines="20" w:before="48"/>
              <w:jc w:val="center"/>
            </w:pPr>
            <w:r w:rsidRPr="002F193E">
              <w:sym w:font="Wingdings 2" w:char="F099"/>
            </w:r>
          </w:p>
        </w:tc>
        <w:tc>
          <w:tcPr>
            <w:tcW w:w="600" w:type="dxa"/>
          </w:tcPr>
          <w:p w14:paraId="3AA82FFA" w14:textId="77777777" w:rsidR="0077513D" w:rsidRDefault="0077513D" w:rsidP="0077513D">
            <w:pPr>
              <w:spacing w:beforeLines="20" w:before="48"/>
              <w:jc w:val="center"/>
            </w:pPr>
            <w:r w:rsidRPr="002F193E">
              <w:sym w:font="Wingdings 2" w:char="F099"/>
            </w:r>
          </w:p>
        </w:tc>
        <w:tc>
          <w:tcPr>
            <w:tcW w:w="964" w:type="dxa"/>
          </w:tcPr>
          <w:p w14:paraId="61454C6E" w14:textId="77777777" w:rsidR="0077513D" w:rsidRDefault="0077513D" w:rsidP="0077513D">
            <w:pPr>
              <w:spacing w:beforeLines="20" w:before="48"/>
              <w:jc w:val="center"/>
            </w:pPr>
            <w:r w:rsidRPr="002F193E">
              <w:sym w:font="Wingdings 2" w:char="F099"/>
            </w:r>
          </w:p>
        </w:tc>
        <w:tc>
          <w:tcPr>
            <w:tcW w:w="600" w:type="dxa"/>
          </w:tcPr>
          <w:p w14:paraId="3A920428" w14:textId="77777777" w:rsidR="0077513D" w:rsidRDefault="0077513D" w:rsidP="0077513D">
            <w:pPr>
              <w:spacing w:beforeLines="20" w:before="48"/>
              <w:jc w:val="center"/>
            </w:pPr>
            <w:r w:rsidRPr="002F193E">
              <w:sym w:font="Wingdings 2" w:char="F099"/>
            </w:r>
          </w:p>
        </w:tc>
        <w:tc>
          <w:tcPr>
            <w:tcW w:w="600" w:type="dxa"/>
          </w:tcPr>
          <w:p w14:paraId="0EB65777" w14:textId="77777777" w:rsidR="0077513D" w:rsidRDefault="0077513D" w:rsidP="0077513D">
            <w:pPr>
              <w:spacing w:beforeLines="20" w:before="48"/>
              <w:jc w:val="center"/>
            </w:pPr>
            <w:r w:rsidRPr="002F193E">
              <w:sym w:font="Wingdings 2" w:char="F099"/>
            </w:r>
          </w:p>
        </w:tc>
        <w:tc>
          <w:tcPr>
            <w:tcW w:w="1134" w:type="dxa"/>
          </w:tcPr>
          <w:p w14:paraId="0446170C" w14:textId="77777777" w:rsidR="0077513D" w:rsidRDefault="0077513D" w:rsidP="0077513D">
            <w:pPr>
              <w:spacing w:beforeLines="20" w:before="48"/>
              <w:jc w:val="center"/>
            </w:pPr>
            <w:r w:rsidRPr="002F193E">
              <w:sym w:font="Wingdings 2" w:char="F099"/>
            </w:r>
          </w:p>
        </w:tc>
      </w:tr>
      <w:tr w:rsidR="0077513D" w:rsidRPr="00B541B0" w14:paraId="77AB82D9" w14:textId="77777777" w:rsidTr="0077513D">
        <w:trPr>
          <w:cnfStyle w:val="000000100000" w:firstRow="0" w:lastRow="0" w:firstColumn="0" w:lastColumn="0" w:oddVBand="0" w:evenVBand="0" w:oddHBand="1" w:evenHBand="0" w:firstRowFirstColumn="0" w:firstRowLastColumn="0" w:lastRowFirstColumn="0" w:lastRowLastColumn="0"/>
        </w:trPr>
        <w:tc>
          <w:tcPr>
            <w:tcW w:w="4786" w:type="dxa"/>
          </w:tcPr>
          <w:p w14:paraId="59D24F77" w14:textId="77777777" w:rsidR="0077513D" w:rsidRPr="00017CA6" w:rsidRDefault="0077513D" w:rsidP="0077513D">
            <w:pPr>
              <w:spacing w:beforeLines="20" w:before="48"/>
            </w:pPr>
            <w:r w:rsidRPr="00017CA6">
              <w:t xml:space="preserve">Industry's level of knowledge about biosecurity </w:t>
            </w:r>
          </w:p>
        </w:tc>
        <w:tc>
          <w:tcPr>
            <w:tcW w:w="1134" w:type="dxa"/>
          </w:tcPr>
          <w:p w14:paraId="743F63DD" w14:textId="77777777" w:rsidR="0077513D" w:rsidRDefault="0077513D" w:rsidP="0077513D">
            <w:pPr>
              <w:spacing w:beforeLines="20" w:before="48"/>
              <w:jc w:val="center"/>
            </w:pPr>
            <w:r w:rsidRPr="002F193E">
              <w:sym w:font="Wingdings 2" w:char="F099"/>
            </w:r>
          </w:p>
        </w:tc>
        <w:tc>
          <w:tcPr>
            <w:tcW w:w="600" w:type="dxa"/>
          </w:tcPr>
          <w:p w14:paraId="3EE71B1C" w14:textId="77777777" w:rsidR="0077513D" w:rsidRDefault="0077513D" w:rsidP="0077513D">
            <w:pPr>
              <w:spacing w:beforeLines="20" w:before="48"/>
              <w:jc w:val="center"/>
            </w:pPr>
            <w:r w:rsidRPr="002F193E">
              <w:sym w:font="Wingdings 2" w:char="F099"/>
            </w:r>
          </w:p>
        </w:tc>
        <w:tc>
          <w:tcPr>
            <w:tcW w:w="600" w:type="dxa"/>
          </w:tcPr>
          <w:p w14:paraId="4307C488" w14:textId="77777777" w:rsidR="0077513D" w:rsidRDefault="0077513D" w:rsidP="0077513D">
            <w:pPr>
              <w:spacing w:beforeLines="20" w:before="48"/>
              <w:jc w:val="center"/>
            </w:pPr>
            <w:r w:rsidRPr="002F193E">
              <w:sym w:font="Wingdings 2" w:char="F099"/>
            </w:r>
          </w:p>
        </w:tc>
        <w:tc>
          <w:tcPr>
            <w:tcW w:w="964" w:type="dxa"/>
          </w:tcPr>
          <w:p w14:paraId="1C0B7A90" w14:textId="77777777" w:rsidR="0077513D" w:rsidRDefault="0077513D" w:rsidP="0077513D">
            <w:pPr>
              <w:spacing w:beforeLines="20" w:before="48"/>
              <w:jc w:val="center"/>
            </w:pPr>
            <w:r w:rsidRPr="002F193E">
              <w:sym w:font="Wingdings 2" w:char="F099"/>
            </w:r>
          </w:p>
        </w:tc>
        <w:tc>
          <w:tcPr>
            <w:tcW w:w="600" w:type="dxa"/>
          </w:tcPr>
          <w:p w14:paraId="7F69A207" w14:textId="77777777" w:rsidR="0077513D" w:rsidRDefault="0077513D" w:rsidP="0077513D">
            <w:pPr>
              <w:spacing w:beforeLines="20" w:before="48"/>
              <w:jc w:val="center"/>
            </w:pPr>
            <w:r w:rsidRPr="002F193E">
              <w:sym w:font="Wingdings 2" w:char="F099"/>
            </w:r>
          </w:p>
        </w:tc>
        <w:tc>
          <w:tcPr>
            <w:tcW w:w="600" w:type="dxa"/>
          </w:tcPr>
          <w:p w14:paraId="1279DDD5" w14:textId="77777777" w:rsidR="0077513D" w:rsidRDefault="0077513D" w:rsidP="0077513D">
            <w:pPr>
              <w:spacing w:beforeLines="20" w:before="48"/>
              <w:jc w:val="center"/>
            </w:pPr>
            <w:r w:rsidRPr="002F193E">
              <w:sym w:font="Wingdings 2" w:char="F099"/>
            </w:r>
          </w:p>
        </w:tc>
        <w:tc>
          <w:tcPr>
            <w:tcW w:w="1134" w:type="dxa"/>
          </w:tcPr>
          <w:p w14:paraId="683FEE72" w14:textId="77777777" w:rsidR="0077513D" w:rsidRDefault="0077513D" w:rsidP="0077513D">
            <w:pPr>
              <w:spacing w:beforeLines="20" w:before="48"/>
              <w:jc w:val="center"/>
            </w:pPr>
            <w:r w:rsidRPr="002F193E">
              <w:sym w:font="Wingdings 2" w:char="F099"/>
            </w:r>
          </w:p>
        </w:tc>
      </w:tr>
      <w:tr w:rsidR="0077513D" w:rsidRPr="00B541B0" w14:paraId="43AC8A20" w14:textId="77777777" w:rsidTr="0077513D">
        <w:tc>
          <w:tcPr>
            <w:tcW w:w="4786" w:type="dxa"/>
          </w:tcPr>
          <w:p w14:paraId="09C7AD34" w14:textId="77777777" w:rsidR="0077513D" w:rsidRPr="00017CA6" w:rsidRDefault="0077513D" w:rsidP="0077513D">
            <w:pPr>
              <w:spacing w:beforeLines="20" w:before="48"/>
            </w:pPr>
            <w:r w:rsidRPr="00017CA6">
              <w:t xml:space="preserve">The expertise within government to deliver an effective biosecurity system in WA </w:t>
            </w:r>
          </w:p>
        </w:tc>
        <w:tc>
          <w:tcPr>
            <w:tcW w:w="1134" w:type="dxa"/>
          </w:tcPr>
          <w:p w14:paraId="4C4C6CCC" w14:textId="77777777" w:rsidR="0077513D" w:rsidRDefault="0077513D" w:rsidP="0077513D">
            <w:pPr>
              <w:spacing w:beforeLines="20" w:before="48"/>
              <w:jc w:val="center"/>
            </w:pPr>
            <w:r w:rsidRPr="002F193E">
              <w:sym w:font="Wingdings 2" w:char="F099"/>
            </w:r>
          </w:p>
        </w:tc>
        <w:tc>
          <w:tcPr>
            <w:tcW w:w="600" w:type="dxa"/>
          </w:tcPr>
          <w:p w14:paraId="2AF69DD6" w14:textId="77777777" w:rsidR="0077513D" w:rsidRDefault="0077513D" w:rsidP="0077513D">
            <w:pPr>
              <w:spacing w:beforeLines="20" w:before="48"/>
              <w:jc w:val="center"/>
            </w:pPr>
            <w:r w:rsidRPr="002F193E">
              <w:sym w:font="Wingdings 2" w:char="F099"/>
            </w:r>
          </w:p>
        </w:tc>
        <w:tc>
          <w:tcPr>
            <w:tcW w:w="600" w:type="dxa"/>
          </w:tcPr>
          <w:p w14:paraId="5211D868" w14:textId="77777777" w:rsidR="0077513D" w:rsidRDefault="0077513D" w:rsidP="0077513D">
            <w:pPr>
              <w:spacing w:beforeLines="20" w:before="48"/>
              <w:jc w:val="center"/>
            </w:pPr>
            <w:r w:rsidRPr="002F193E">
              <w:sym w:font="Wingdings 2" w:char="F099"/>
            </w:r>
          </w:p>
        </w:tc>
        <w:tc>
          <w:tcPr>
            <w:tcW w:w="964" w:type="dxa"/>
          </w:tcPr>
          <w:p w14:paraId="11A7FA6E" w14:textId="77777777" w:rsidR="0077513D" w:rsidRDefault="0077513D" w:rsidP="0077513D">
            <w:pPr>
              <w:spacing w:beforeLines="20" w:before="48"/>
              <w:jc w:val="center"/>
            </w:pPr>
            <w:r w:rsidRPr="002F193E">
              <w:sym w:font="Wingdings 2" w:char="F099"/>
            </w:r>
          </w:p>
        </w:tc>
        <w:tc>
          <w:tcPr>
            <w:tcW w:w="600" w:type="dxa"/>
          </w:tcPr>
          <w:p w14:paraId="743F0FF8" w14:textId="77777777" w:rsidR="0077513D" w:rsidRDefault="0077513D" w:rsidP="0077513D">
            <w:pPr>
              <w:spacing w:beforeLines="20" w:before="48"/>
              <w:jc w:val="center"/>
            </w:pPr>
            <w:r w:rsidRPr="002F193E">
              <w:sym w:font="Wingdings 2" w:char="F099"/>
            </w:r>
          </w:p>
        </w:tc>
        <w:tc>
          <w:tcPr>
            <w:tcW w:w="600" w:type="dxa"/>
          </w:tcPr>
          <w:p w14:paraId="32549E45" w14:textId="77777777" w:rsidR="0077513D" w:rsidRDefault="0077513D" w:rsidP="0077513D">
            <w:pPr>
              <w:spacing w:beforeLines="20" w:before="48"/>
              <w:jc w:val="center"/>
            </w:pPr>
            <w:r w:rsidRPr="002F193E">
              <w:sym w:font="Wingdings 2" w:char="F099"/>
            </w:r>
          </w:p>
        </w:tc>
        <w:tc>
          <w:tcPr>
            <w:tcW w:w="1134" w:type="dxa"/>
          </w:tcPr>
          <w:p w14:paraId="73489C99" w14:textId="77777777" w:rsidR="0077513D" w:rsidRDefault="0077513D" w:rsidP="0077513D">
            <w:pPr>
              <w:spacing w:beforeLines="20" w:before="48"/>
              <w:jc w:val="center"/>
            </w:pPr>
            <w:r w:rsidRPr="002F193E">
              <w:sym w:font="Wingdings 2" w:char="F099"/>
            </w:r>
          </w:p>
        </w:tc>
      </w:tr>
      <w:tr w:rsidR="0077513D" w:rsidRPr="00B541B0" w14:paraId="525FA00E" w14:textId="77777777" w:rsidTr="0077513D">
        <w:trPr>
          <w:cnfStyle w:val="000000100000" w:firstRow="0" w:lastRow="0" w:firstColumn="0" w:lastColumn="0" w:oddVBand="0" w:evenVBand="0" w:oddHBand="1" w:evenHBand="0" w:firstRowFirstColumn="0" w:firstRowLastColumn="0" w:lastRowFirstColumn="0" w:lastRowLastColumn="0"/>
        </w:trPr>
        <w:tc>
          <w:tcPr>
            <w:tcW w:w="4786" w:type="dxa"/>
          </w:tcPr>
          <w:p w14:paraId="4D3BC0DF" w14:textId="77777777" w:rsidR="0077513D" w:rsidRPr="00017CA6" w:rsidRDefault="0077513D" w:rsidP="0077513D">
            <w:pPr>
              <w:spacing w:beforeLines="20" w:before="48"/>
            </w:pPr>
            <w:r w:rsidRPr="00017CA6">
              <w:t xml:space="preserve">The impact of complying with biosecurity regulation on business/industry (e.g. time, costs) </w:t>
            </w:r>
          </w:p>
        </w:tc>
        <w:tc>
          <w:tcPr>
            <w:tcW w:w="1134" w:type="dxa"/>
          </w:tcPr>
          <w:p w14:paraId="0862FD49" w14:textId="77777777" w:rsidR="0077513D" w:rsidRDefault="0077513D" w:rsidP="0077513D">
            <w:pPr>
              <w:spacing w:beforeLines="20" w:before="48"/>
              <w:jc w:val="center"/>
            </w:pPr>
            <w:r w:rsidRPr="002F193E">
              <w:sym w:font="Wingdings 2" w:char="F099"/>
            </w:r>
          </w:p>
        </w:tc>
        <w:tc>
          <w:tcPr>
            <w:tcW w:w="600" w:type="dxa"/>
          </w:tcPr>
          <w:p w14:paraId="589B9DEE" w14:textId="77777777" w:rsidR="0077513D" w:rsidRDefault="0077513D" w:rsidP="0077513D">
            <w:pPr>
              <w:spacing w:beforeLines="20" w:before="48"/>
              <w:jc w:val="center"/>
            </w:pPr>
            <w:r w:rsidRPr="002F193E">
              <w:sym w:font="Wingdings 2" w:char="F099"/>
            </w:r>
          </w:p>
        </w:tc>
        <w:tc>
          <w:tcPr>
            <w:tcW w:w="600" w:type="dxa"/>
          </w:tcPr>
          <w:p w14:paraId="65068714" w14:textId="77777777" w:rsidR="0077513D" w:rsidRDefault="0077513D" w:rsidP="0077513D">
            <w:pPr>
              <w:spacing w:beforeLines="20" w:before="48"/>
              <w:jc w:val="center"/>
            </w:pPr>
            <w:r w:rsidRPr="002F193E">
              <w:sym w:font="Wingdings 2" w:char="F099"/>
            </w:r>
          </w:p>
        </w:tc>
        <w:tc>
          <w:tcPr>
            <w:tcW w:w="964" w:type="dxa"/>
          </w:tcPr>
          <w:p w14:paraId="4678FF61" w14:textId="77777777" w:rsidR="0077513D" w:rsidRDefault="0077513D" w:rsidP="0077513D">
            <w:pPr>
              <w:spacing w:beforeLines="20" w:before="48"/>
              <w:jc w:val="center"/>
            </w:pPr>
            <w:r w:rsidRPr="002F193E">
              <w:sym w:font="Wingdings 2" w:char="F099"/>
            </w:r>
          </w:p>
        </w:tc>
        <w:tc>
          <w:tcPr>
            <w:tcW w:w="600" w:type="dxa"/>
          </w:tcPr>
          <w:p w14:paraId="2AEA0268" w14:textId="77777777" w:rsidR="0077513D" w:rsidRDefault="0077513D" w:rsidP="0077513D">
            <w:pPr>
              <w:spacing w:beforeLines="20" w:before="48"/>
              <w:jc w:val="center"/>
            </w:pPr>
            <w:r w:rsidRPr="002F193E">
              <w:sym w:font="Wingdings 2" w:char="F099"/>
            </w:r>
          </w:p>
        </w:tc>
        <w:tc>
          <w:tcPr>
            <w:tcW w:w="600" w:type="dxa"/>
          </w:tcPr>
          <w:p w14:paraId="6E6B2546" w14:textId="77777777" w:rsidR="0077513D" w:rsidRDefault="0077513D" w:rsidP="0077513D">
            <w:pPr>
              <w:spacing w:beforeLines="20" w:before="48"/>
              <w:jc w:val="center"/>
            </w:pPr>
            <w:r w:rsidRPr="002F193E">
              <w:sym w:font="Wingdings 2" w:char="F099"/>
            </w:r>
          </w:p>
        </w:tc>
        <w:tc>
          <w:tcPr>
            <w:tcW w:w="1134" w:type="dxa"/>
          </w:tcPr>
          <w:p w14:paraId="1F81D1F0" w14:textId="77777777" w:rsidR="0077513D" w:rsidRDefault="0077513D" w:rsidP="0077513D">
            <w:pPr>
              <w:spacing w:beforeLines="20" w:before="48"/>
              <w:jc w:val="center"/>
            </w:pPr>
            <w:r w:rsidRPr="002F193E">
              <w:sym w:font="Wingdings 2" w:char="F099"/>
            </w:r>
          </w:p>
        </w:tc>
      </w:tr>
      <w:tr w:rsidR="0077513D" w:rsidRPr="00B541B0" w14:paraId="7D6E2813" w14:textId="77777777" w:rsidTr="0077513D">
        <w:tc>
          <w:tcPr>
            <w:tcW w:w="4786" w:type="dxa"/>
          </w:tcPr>
          <w:p w14:paraId="398C17F2" w14:textId="77777777" w:rsidR="0077513D" w:rsidRPr="00017CA6" w:rsidRDefault="0077513D" w:rsidP="0077513D">
            <w:pPr>
              <w:spacing w:beforeLines="20" w:before="48"/>
            </w:pPr>
            <w:r w:rsidRPr="00017CA6">
              <w:t xml:space="preserve">Government investment in biosecurity </w:t>
            </w:r>
          </w:p>
        </w:tc>
        <w:tc>
          <w:tcPr>
            <w:tcW w:w="1134" w:type="dxa"/>
          </w:tcPr>
          <w:p w14:paraId="4E7F771B" w14:textId="77777777" w:rsidR="0077513D" w:rsidRDefault="0077513D" w:rsidP="0077513D">
            <w:pPr>
              <w:spacing w:beforeLines="20" w:before="48"/>
              <w:jc w:val="center"/>
            </w:pPr>
            <w:r w:rsidRPr="002F193E">
              <w:sym w:font="Wingdings 2" w:char="F099"/>
            </w:r>
          </w:p>
        </w:tc>
        <w:tc>
          <w:tcPr>
            <w:tcW w:w="600" w:type="dxa"/>
          </w:tcPr>
          <w:p w14:paraId="0B0918A2" w14:textId="77777777" w:rsidR="0077513D" w:rsidRDefault="0077513D" w:rsidP="0077513D">
            <w:pPr>
              <w:spacing w:beforeLines="20" w:before="48"/>
              <w:jc w:val="center"/>
            </w:pPr>
            <w:r w:rsidRPr="002F193E">
              <w:sym w:font="Wingdings 2" w:char="F099"/>
            </w:r>
          </w:p>
        </w:tc>
        <w:tc>
          <w:tcPr>
            <w:tcW w:w="600" w:type="dxa"/>
          </w:tcPr>
          <w:p w14:paraId="7702BFD0" w14:textId="77777777" w:rsidR="0077513D" w:rsidRDefault="0077513D" w:rsidP="0077513D">
            <w:pPr>
              <w:spacing w:beforeLines="20" w:before="48"/>
              <w:jc w:val="center"/>
            </w:pPr>
            <w:r w:rsidRPr="002F193E">
              <w:sym w:font="Wingdings 2" w:char="F099"/>
            </w:r>
          </w:p>
        </w:tc>
        <w:tc>
          <w:tcPr>
            <w:tcW w:w="964" w:type="dxa"/>
          </w:tcPr>
          <w:p w14:paraId="3F857AE9" w14:textId="77777777" w:rsidR="0077513D" w:rsidRDefault="0077513D" w:rsidP="0077513D">
            <w:pPr>
              <w:spacing w:beforeLines="20" w:before="48"/>
              <w:jc w:val="center"/>
            </w:pPr>
            <w:r w:rsidRPr="002F193E">
              <w:sym w:font="Wingdings 2" w:char="F099"/>
            </w:r>
          </w:p>
        </w:tc>
        <w:tc>
          <w:tcPr>
            <w:tcW w:w="600" w:type="dxa"/>
          </w:tcPr>
          <w:p w14:paraId="7EC9094B" w14:textId="77777777" w:rsidR="0077513D" w:rsidRDefault="0077513D" w:rsidP="0077513D">
            <w:pPr>
              <w:spacing w:beforeLines="20" w:before="48"/>
              <w:jc w:val="center"/>
            </w:pPr>
            <w:r w:rsidRPr="002F193E">
              <w:sym w:font="Wingdings 2" w:char="F099"/>
            </w:r>
          </w:p>
        </w:tc>
        <w:tc>
          <w:tcPr>
            <w:tcW w:w="600" w:type="dxa"/>
          </w:tcPr>
          <w:p w14:paraId="01767B7C" w14:textId="77777777" w:rsidR="0077513D" w:rsidRDefault="0077513D" w:rsidP="0077513D">
            <w:pPr>
              <w:spacing w:beforeLines="20" w:before="48"/>
              <w:jc w:val="center"/>
            </w:pPr>
            <w:r w:rsidRPr="002F193E">
              <w:sym w:font="Wingdings 2" w:char="F099"/>
            </w:r>
          </w:p>
        </w:tc>
        <w:tc>
          <w:tcPr>
            <w:tcW w:w="1134" w:type="dxa"/>
          </w:tcPr>
          <w:p w14:paraId="396BF3A1" w14:textId="77777777" w:rsidR="0077513D" w:rsidRDefault="0077513D" w:rsidP="0077513D">
            <w:pPr>
              <w:spacing w:beforeLines="20" w:before="48"/>
              <w:jc w:val="center"/>
            </w:pPr>
            <w:r w:rsidRPr="002F193E">
              <w:sym w:font="Wingdings 2" w:char="F099"/>
            </w:r>
          </w:p>
        </w:tc>
      </w:tr>
      <w:tr w:rsidR="0077513D" w:rsidRPr="00B541B0" w14:paraId="67732534" w14:textId="77777777" w:rsidTr="0077513D">
        <w:trPr>
          <w:cnfStyle w:val="000000100000" w:firstRow="0" w:lastRow="0" w:firstColumn="0" w:lastColumn="0" w:oddVBand="0" w:evenVBand="0" w:oddHBand="1" w:evenHBand="0" w:firstRowFirstColumn="0" w:firstRowLastColumn="0" w:lastRowFirstColumn="0" w:lastRowLastColumn="0"/>
        </w:trPr>
        <w:tc>
          <w:tcPr>
            <w:tcW w:w="4786" w:type="dxa"/>
          </w:tcPr>
          <w:p w14:paraId="06045C3D" w14:textId="77777777" w:rsidR="0077513D" w:rsidRPr="00017CA6" w:rsidRDefault="0077513D" w:rsidP="0077513D">
            <w:pPr>
              <w:spacing w:beforeLines="20" w:before="48"/>
            </w:pPr>
            <w:r w:rsidRPr="00017CA6">
              <w:t xml:space="preserve">Industry commitment to biosecurity </w:t>
            </w:r>
          </w:p>
        </w:tc>
        <w:tc>
          <w:tcPr>
            <w:tcW w:w="1134" w:type="dxa"/>
          </w:tcPr>
          <w:p w14:paraId="70534309" w14:textId="77777777" w:rsidR="0077513D" w:rsidRDefault="0077513D" w:rsidP="0077513D">
            <w:pPr>
              <w:spacing w:beforeLines="20" w:before="48"/>
              <w:jc w:val="center"/>
            </w:pPr>
            <w:r w:rsidRPr="00BB5FC0">
              <w:sym w:font="Wingdings 2" w:char="F099"/>
            </w:r>
          </w:p>
        </w:tc>
        <w:tc>
          <w:tcPr>
            <w:tcW w:w="600" w:type="dxa"/>
          </w:tcPr>
          <w:p w14:paraId="453F96EC" w14:textId="77777777" w:rsidR="0077513D" w:rsidRDefault="0077513D" w:rsidP="0077513D">
            <w:pPr>
              <w:spacing w:beforeLines="20" w:before="48"/>
              <w:jc w:val="center"/>
            </w:pPr>
            <w:r w:rsidRPr="00BB5FC0">
              <w:sym w:font="Wingdings 2" w:char="F099"/>
            </w:r>
          </w:p>
        </w:tc>
        <w:tc>
          <w:tcPr>
            <w:tcW w:w="600" w:type="dxa"/>
          </w:tcPr>
          <w:p w14:paraId="338DAFE1" w14:textId="77777777" w:rsidR="0077513D" w:rsidRDefault="0077513D" w:rsidP="0077513D">
            <w:pPr>
              <w:spacing w:beforeLines="20" w:before="48"/>
              <w:jc w:val="center"/>
            </w:pPr>
            <w:r w:rsidRPr="00BB5FC0">
              <w:sym w:font="Wingdings 2" w:char="F099"/>
            </w:r>
          </w:p>
        </w:tc>
        <w:tc>
          <w:tcPr>
            <w:tcW w:w="964" w:type="dxa"/>
          </w:tcPr>
          <w:p w14:paraId="5DA123E7" w14:textId="77777777" w:rsidR="0077513D" w:rsidRDefault="0077513D" w:rsidP="0077513D">
            <w:pPr>
              <w:spacing w:beforeLines="20" w:before="48"/>
              <w:jc w:val="center"/>
            </w:pPr>
            <w:r w:rsidRPr="00BB5FC0">
              <w:sym w:font="Wingdings 2" w:char="F099"/>
            </w:r>
          </w:p>
        </w:tc>
        <w:tc>
          <w:tcPr>
            <w:tcW w:w="600" w:type="dxa"/>
          </w:tcPr>
          <w:p w14:paraId="09EB349B" w14:textId="77777777" w:rsidR="0077513D" w:rsidRDefault="0077513D" w:rsidP="0077513D">
            <w:pPr>
              <w:spacing w:beforeLines="20" w:before="48"/>
              <w:jc w:val="center"/>
            </w:pPr>
            <w:r w:rsidRPr="00BB5FC0">
              <w:sym w:font="Wingdings 2" w:char="F099"/>
            </w:r>
          </w:p>
        </w:tc>
        <w:tc>
          <w:tcPr>
            <w:tcW w:w="600" w:type="dxa"/>
          </w:tcPr>
          <w:p w14:paraId="1F4DD010" w14:textId="77777777" w:rsidR="0077513D" w:rsidRDefault="0077513D" w:rsidP="0077513D">
            <w:pPr>
              <w:spacing w:beforeLines="20" w:before="48"/>
              <w:jc w:val="center"/>
            </w:pPr>
            <w:r w:rsidRPr="00BB5FC0">
              <w:sym w:font="Wingdings 2" w:char="F099"/>
            </w:r>
          </w:p>
        </w:tc>
        <w:tc>
          <w:tcPr>
            <w:tcW w:w="1134" w:type="dxa"/>
          </w:tcPr>
          <w:p w14:paraId="0733C0AB" w14:textId="77777777" w:rsidR="0077513D" w:rsidRDefault="0077513D" w:rsidP="0077513D">
            <w:pPr>
              <w:spacing w:beforeLines="20" w:before="48"/>
              <w:jc w:val="center"/>
            </w:pPr>
            <w:r w:rsidRPr="00BB5FC0">
              <w:sym w:font="Wingdings 2" w:char="F099"/>
            </w:r>
          </w:p>
        </w:tc>
      </w:tr>
      <w:tr w:rsidR="0077513D" w:rsidRPr="00B541B0" w14:paraId="0B09721C" w14:textId="77777777" w:rsidTr="0077513D">
        <w:tc>
          <w:tcPr>
            <w:tcW w:w="4786" w:type="dxa"/>
          </w:tcPr>
          <w:p w14:paraId="476727DD" w14:textId="77777777" w:rsidR="0077513D" w:rsidRPr="00017CA6" w:rsidRDefault="0077513D" w:rsidP="0077513D">
            <w:pPr>
              <w:spacing w:beforeLines="20" w:before="48"/>
            </w:pPr>
            <w:r w:rsidRPr="00017CA6">
              <w:t xml:space="preserve">The management of pests, weeds and diseases on bordering properties </w:t>
            </w:r>
          </w:p>
        </w:tc>
        <w:tc>
          <w:tcPr>
            <w:tcW w:w="1134" w:type="dxa"/>
          </w:tcPr>
          <w:p w14:paraId="5B71194F" w14:textId="77777777" w:rsidR="0077513D" w:rsidRDefault="0077513D" w:rsidP="0077513D">
            <w:pPr>
              <w:spacing w:beforeLines="20" w:before="48"/>
              <w:jc w:val="center"/>
            </w:pPr>
            <w:r w:rsidRPr="00BB5FC0">
              <w:sym w:font="Wingdings 2" w:char="F099"/>
            </w:r>
          </w:p>
        </w:tc>
        <w:tc>
          <w:tcPr>
            <w:tcW w:w="600" w:type="dxa"/>
          </w:tcPr>
          <w:p w14:paraId="1CE4C53E" w14:textId="77777777" w:rsidR="0077513D" w:rsidRDefault="0077513D" w:rsidP="0077513D">
            <w:pPr>
              <w:spacing w:beforeLines="20" w:before="48"/>
              <w:jc w:val="center"/>
            </w:pPr>
            <w:r w:rsidRPr="00BB5FC0">
              <w:sym w:font="Wingdings 2" w:char="F099"/>
            </w:r>
          </w:p>
        </w:tc>
        <w:tc>
          <w:tcPr>
            <w:tcW w:w="600" w:type="dxa"/>
          </w:tcPr>
          <w:p w14:paraId="0F6F9153" w14:textId="77777777" w:rsidR="0077513D" w:rsidRDefault="0077513D" w:rsidP="0077513D">
            <w:pPr>
              <w:spacing w:beforeLines="20" w:before="48"/>
              <w:jc w:val="center"/>
            </w:pPr>
            <w:r w:rsidRPr="00BB5FC0">
              <w:sym w:font="Wingdings 2" w:char="F099"/>
            </w:r>
          </w:p>
        </w:tc>
        <w:tc>
          <w:tcPr>
            <w:tcW w:w="964" w:type="dxa"/>
          </w:tcPr>
          <w:p w14:paraId="4626E0AA" w14:textId="77777777" w:rsidR="0077513D" w:rsidRDefault="0077513D" w:rsidP="0077513D">
            <w:pPr>
              <w:spacing w:beforeLines="20" w:before="48"/>
              <w:jc w:val="center"/>
            </w:pPr>
            <w:r w:rsidRPr="00BB5FC0">
              <w:sym w:font="Wingdings 2" w:char="F099"/>
            </w:r>
          </w:p>
        </w:tc>
        <w:tc>
          <w:tcPr>
            <w:tcW w:w="600" w:type="dxa"/>
          </w:tcPr>
          <w:p w14:paraId="5C85A67C" w14:textId="77777777" w:rsidR="0077513D" w:rsidRDefault="0077513D" w:rsidP="0077513D">
            <w:pPr>
              <w:spacing w:beforeLines="20" w:before="48"/>
              <w:jc w:val="center"/>
            </w:pPr>
            <w:r w:rsidRPr="00BB5FC0">
              <w:sym w:font="Wingdings 2" w:char="F099"/>
            </w:r>
          </w:p>
        </w:tc>
        <w:tc>
          <w:tcPr>
            <w:tcW w:w="600" w:type="dxa"/>
          </w:tcPr>
          <w:p w14:paraId="0E50BCE4" w14:textId="77777777" w:rsidR="0077513D" w:rsidRDefault="0077513D" w:rsidP="0077513D">
            <w:pPr>
              <w:spacing w:beforeLines="20" w:before="48"/>
              <w:jc w:val="center"/>
            </w:pPr>
            <w:r w:rsidRPr="00BB5FC0">
              <w:sym w:font="Wingdings 2" w:char="F099"/>
            </w:r>
          </w:p>
        </w:tc>
        <w:tc>
          <w:tcPr>
            <w:tcW w:w="1134" w:type="dxa"/>
          </w:tcPr>
          <w:p w14:paraId="4A6B2223" w14:textId="77777777" w:rsidR="0077513D" w:rsidRDefault="0077513D" w:rsidP="0077513D">
            <w:pPr>
              <w:spacing w:beforeLines="20" w:before="48"/>
              <w:jc w:val="center"/>
            </w:pPr>
            <w:r w:rsidRPr="00BB5FC0">
              <w:sym w:font="Wingdings 2" w:char="F099"/>
            </w:r>
          </w:p>
        </w:tc>
      </w:tr>
      <w:tr w:rsidR="0077513D" w:rsidRPr="00B541B0" w14:paraId="51D3A087" w14:textId="77777777" w:rsidTr="0077513D">
        <w:trPr>
          <w:cnfStyle w:val="000000100000" w:firstRow="0" w:lastRow="0" w:firstColumn="0" w:lastColumn="0" w:oddVBand="0" w:evenVBand="0" w:oddHBand="1" w:evenHBand="0" w:firstRowFirstColumn="0" w:firstRowLastColumn="0" w:lastRowFirstColumn="0" w:lastRowLastColumn="0"/>
        </w:trPr>
        <w:tc>
          <w:tcPr>
            <w:tcW w:w="4786" w:type="dxa"/>
          </w:tcPr>
          <w:p w14:paraId="046B440A" w14:textId="77777777" w:rsidR="0077513D" w:rsidRPr="00017CA6" w:rsidRDefault="0077513D" w:rsidP="0077513D">
            <w:pPr>
              <w:spacing w:beforeLines="20" w:before="48"/>
            </w:pPr>
            <w:r w:rsidRPr="00017CA6">
              <w:t xml:space="preserve">Resources to manage pests, weeds and diseases </w:t>
            </w:r>
          </w:p>
        </w:tc>
        <w:tc>
          <w:tcPr>
            <w:tcW w:w="1134" w:type="dxa"/>
          </w:tcPr>
          <w:p w14:paraId="221DD906" w14:textId="77777777" w:rsidR="0077513D" w:rsidRDefault="0077513D" w:rsidP="0077513D">
            <w:pPr>
              <w:spacing w:beforeLines="20" w:before="48"/>
              <w:jc w:val="center"/>
            </w:pPr>
            <w:r w:rsidRPr="00BB5FC0">
              <w:sym w:font="Wingdings 2" w:char="F099"/>
            </w:r>
          </w:p>
        </w:tc>
        <w:tc>
          <w:tcPr>
            <w:tcW w:w="600" w:type="dxa"/>
          </w:tcPr>
          <w:p w14:paraId="6E1B8728" w14:textId="77777777" w:rsidR="0077513D" w:rsidRDefault="0077513D" w:rsidP="0077513D">
            <w:pPr>
              <w:spacing w:beforeLines="20" w:before="48"/>
              <w:jc w:val="center"/>
            </w:pPr>
            <w:r w:rsidRPr="00BB5FC0">
              <w:sym w:font="Wingdings 2" w:char="F099"/>
            </w:r>
          </w:p>
        </w:tc>
        <w:tc>
          <w:tcPr>
            <w:tcW w:w="600" w:type="dxa"/>
          </w:tcPr>
          <w:p w14:paraId="311CEA6A" w14:textId="77777777" w:rsidR="0077513D" w:rsidRDefault="0077513D" w:rsidP="0077513D">
            <w:pPr>
              <w:spacing w:beforeLines="20" w:before="48"/>
              <w:jc w:val="center"/>
            </w:pPr>
            <w:r w:rsidRPr="00BB5FC0">
              <w:sym w:font="Wingdings 2" w:char="F099"/>
            </w:r>
          </w:p>
        </w:tc>
        <w:tc>
          <w:tcPr>
            <w:tcW w:w="964" w:type="dxa"/>
          </w:tcPr>
          <w:p w14:paraId="3D59B91A" w14:textId="77777777" w:rsidR="0077513D" w:rsidRDefault="0077513D" w:rsidP="0077513D">
            <w:pPr>
              <w:spacing w:beforeLines="20" w:before="48"/>
              <w:jc w:val="center"/>
            </w:pPr>
            <w:r w:rsidRPr="00BB5FC0">
              <w:sym w:font="Wingdings 2" w:char="F099"/>
            </w:r>
          </w:p>
        </w:tc>
        <w:tc>
          <w:tcPr>
            <w:tcW w:w="600" w:type="dxa"/>
          </w:tcPr>
          <w:p w14:paraId="361EF70F" w14:textId="77777777" w:rsidR="0077513D" w:rsidRDefault="0077513D" w:rsidP="0077513D">
            <w:pPr>
              <w:spacing w:beforeLines="20" w:before="48"/>
              <w:jc w:val="center"/>
            </w:pPr>
            <w:r w:rsidRPr="00BB5FC0">
              <w:sym w:font="Wingdings 2" w:char="F099"/>
            </w:r>
          </w:p>
        </w:tc>
        <w:tc>
          <w:tcPr>
            <w:tcW w:w="600" w:type="dxa"/>
          </w:tcPr>
          <w:p w14:paraId="5CF8C168" w14:textId="77777777" w:rsidR="0077513D" w:rsidRDefault="0077513D" w:rsidP="0077513D">
            <w:pPr>
              <w:spacing w:beforeLines="20" w:before="48"/>
              <w:jc w:val="center"/>
            </w:pPr>
            <w:r w:rsidRPr="00BB5FC0">
              <w:sym w:font="Wingdings 2" w:char="F099"/>
            </w:r>
          </w:p>
        </w:tc>
        <w:tc>
          <w:tcPr>
            <w:tcW w:w="1134" w:type="dxa"/>
          </w:tcPr>
          <w:p w14:paraId="4E208D25" w14:textId="77777777" w:rsidR="0077513D" w:rsidRDefault="0077513D" w:rsidP="0077513D">
            <w:pPr>
              <w:spacing w:beforeLines="20" w:before="48"/>
              <w:jc w:val="center"/>
            </w:pPr>
            <w:r w:rsidRPr="00BB5FC0">
              <w:sym w:font="Wingdings 2" w:char="F099"/>
            </w:r>
          </w:p>
        </w:tc>
      </w:tr>
      <w:tr w:rsidR="0077513D" w:rsidRPr="00B541B0" w14:paraId="0DE82B77" w14:textId="77777777" w:rsidTr="0077513D">
        <w:tc>
          <w:tcPr>
            <w:tcW w:w="4786" w:type="dxa"/>
          </w:tcPr>
          <w:p w14:paraId="3EC23DF3" w14:textId="77777777" w:rsidR="0077513D" w:rsidRPr="00017CA6" w:rsidRDefault="0077513D" w:rsidP="0077513D">
            <w:pPr>
              <w:spacing w:beforeLines="20" w:before="48"/>
            </w:pPr>
            <w:r w:rsidRPr="00017CA6">
              <w:t xml:space="preserve">Government legislation and/or regulations </w:t>
            </w:r>
          </w:p>
        </w:tc>
        <w:tc>
          <w:tcPr>
            <w:tcW w:w="1134" w:type="dxa"/>
          </w:tcPr>
          <w:p w14:paraId="3CCF6420" w14:textId="77777777" w:rsidR="0077513D" w:rsidRDefault="0077513D" w:rsidP="0077513D">
            <w:pPr>
              <w:spacing w:beforeLines="20" w:before="48"/>
              <w:jc w:val="center"/>
            </w:pPr>
            <w:r w:rsidRPr="00BB5FC0">
              <w:sym w:font="Wingdings 2" w:char="F099"/>
            </w:r>
          </w:p>
        </w:tc>
        <w:tc>
          <w:tcPr>
            <w:tcW w:w="600" w:type="dxa"/>
          </w:tcPr>
          <w:p w14:paraId="7B40F916" w14:textId="77777777" w:rsidR="0077513D" w:rsidRDefault="0077513D" w:rsidP="0077513D">
            <w:pPr>
              <w:spacing w:beforeLines="20" w:before="48"/>
              <w:jc w:val="center"/>
            </w:pPr>
            <w:r w:rsidRPr="00BB5FC0">
              <w:sym w:font="Wingdings 2" w:char="F099"/>
            </w:r>
          </w:p>
        </w:tc>
        <w:tc>
          <w:tcPr>
            <w:tcW w:w="600" w:type="dxa"/>
          </w:tcPr>
          <w:p w14:paraId="06A0BC8E" w14:textId="77777777" w:rsidR="0077513D" w:rsidRDefault="0077513D" w:rsidP="0077513D">
            <w:pPr>
              <w:spacing w:beforeLines="20" w:before="48"/>
              <w:jc w:val="center"/>
            </w:pPr>
            <w:r w:rsidRPr="00BB5FC0">
              <w:sym w:font="Wingdings 2" w:char="F099"/>
            </w:r>
          </w:p>
        </w:tc>
        <w:tc>
          <w:tcPr>
            <w:tcW w:w="964" w:type="dxa"/>
          </w:tcPr>
          <w:p w14:paraId="5F6E34ED" w14:textId="77777777" w:rsidR="0077513D" w:rsidRDefault="0077513D" w:rsidP="0077513D">
            <w:pPr>
              <w:spacing w:beforeLines="20" w:before="48"/>
              <w:jc w:val="center"/>
            </w:pPr>
            <w:r w:rsidRPr="00BB5FC0">
              <w:sym w:font="Wingdings 2" w:char="F099"/>
            </w:r>
          </w:p>
        </w:tc>
        <w:tc>
          <w:tcPr>
            <w:tcW w:w="600" w:type="dxa"/>
          </w:tcPr>
          <w:p w14:paraId="21F161C9" w14:textId="77777777" w:rsidR="0077513D" w:rsidRDefault="0077513D" w:rsidP="0077513D">
            <w:pPr>
              <w:spacing w:beforeLines="20" w:before="48"/>
              <w:jc w:val="center"/>
            </w:pPr>
            <w:r w:rsidRPr="00BB5FC0">
              <w:sym w:font="Wingdings 2" w:char="F099"/>
            </w:r>
          </w:p>
        </w:tc>
        <w:tc>
          <w:tcPr>
            <w:tcW w:w="600" w:type="dxa"/>
          </w:tcPr>
          <w:p w14:paraId="44410EE5" w14:textId="77777777" w:rsidR="0077513D" w:rsidRDefault="0077513D" w:rsidP="0077513D">
            <w:pPr>
              <w:spacing w:beforeLines="20" w:before="48"/>
              <w:jc w:val="center"/>
            </w:pPr>
            <w:r w:rsidRPr="00BB5FC0">
              <w:sym w:font="Wingdings 2" w:char="F099"/>
            </w:r>
          </w:p>
        </w:tc>
        <w:tc>
          <w:tcPr>
            <w:tcW w:w="1134" w:type="dxa"/>
          </w:tcPr>
          <w:p w14:paraId="0EE54DD9" w14:textId="77777777" w:rsidR="0077513D" w:rsidRDefault="0077513D" w:rsidP="0077513D">
            <w:pPr>
              <w:spacing w:beforeLines="20" w:before="48"/>
              <w:jc w:val="center"/>
            </w:pPr>
            <w:r w:rsidRPr="00BB5FC0">
              <w:sym w:font="Wingdings 2" w:char="F099"/>
            </w:r>
          </w:p>
        </w:tc>
      </w:tr>
      <w:tr w:rsidR="0077513D" w:rsidRPr="00B541B0" w14:paraId="1972032C" w14:textId="77777777" w:rsidTr="0077513D">
        <w:trPr>
          <w:cnfStyle w:val="000000100000" w:firstRow="0" w:lastRow="0" w:firstColumn="0" w:lastColumn="0" w:oddVBand="0" w:evenVBand="0" w:oddHBand="1" w:evenHBand="0" w:firstRowFirstColumn="0" w:firstRowLastColumn="0" w:lastRowFirstColumn="0" w:lastRowLastColumn="0"/>
        </w:trPr>
        <w:tc>
          <w:tcPr>
            <w:tcW w:w="4786" w:type="dxa"/>
          </w:tcPr>
          <w:p w14:paraId="1ED83F76" w14:textId="77777777" w:rsidR="0077513D" w:rsidRPr="00017CA6" w:rsidRDefault="0077513D" w:rsidP="0077513D">
            <w:pPr>
              <w:spacing w:beforeLines="20" w:before="48"/>
            </w:pPr>
            <w:r w:rsidRPr="00017CA6">
              <w:t xml:space="preserve">People not reporting suspicious pests, weeds and diseases for fear of potential repercussions </w:t>
            </w:r>
          </w:p>
        </w:tc>
        <w:tc>
          <w:tcPr>
            <w:tcW w:w="1134" w:type="dxa"/>
          </w:tcPr>
          <w:p w14:paraId="6907536D" w14:textId="77777777" w:rsidR="0077513D" w:rsidRDefault="0077513D" w:rsidP="0077513D">
            <w:pPr>
              <w:spacing w:beforeLines="20" w:before="48"/>
              <w:jc w:val="center"/>
            </w:pPr>
            <w:r w:rsidRPr="00BB5FC0">
              <w:sym w:font="Wingdings 2" w:char="F099"/>
            </w:r>
          </w:p>
        </w:tc>
        <w:tc>
          <w:tcPr>
            <w:tcW w:w="600" w:type="dxa"/>
          </w:tcPr>
          <w:p w14:paraId="59187A53" w14:textId="77777777" w:rsidR="0077513D" w:rsidRDefault="0077513D" w:rsidP="0077513D">
            <w:pPr>
              <w:spacing w:beforeLines="20" w:before="48"/>
              <w:jc w:val="center"/>
            </w:pPr>
            <w:r w:rsidRPr="00BB5FC0">
              <w:sym w:font="Wingdings 2" w:char="F099"/>
            </w:r>
          </w:p>
        </w:tc>
        <w:tc>
          <w:tcPr>
            <w:tcW w:w="600" w:type="dxa"/>
          </w:tcPr>
          <w:p w14:paraId="1B19BA6A" w14:textId="77777777" w:rsidR="0077513D" w:rsidRDefault="0077513D" w:rsidP="0077513D">
            <w:pPr>
              <w:spacing w:beforeLines="20" w:before="48"/>
              <w:jc w:val="center"/>
            </w:pPr>
            <w:r w:rsidRPr="00BB5FC0">
              <w:sym w:font="Wingdings 2" w:char="F099"/>
            </w:r>
          </w:p>
        </w:tc>
        <w:tc>
          <w:tcPr>
            <w:tcW w:w="964" w:type="dxa"/>
          </w:tcPr>
          <w:p w14:paraId="45113C70" w14:textId="77777777" w:rsidR="0077513D" w:rsidRDefault="0077513D" w:rsidP="0077513D">
            <w:pPr>
              <w:spacing w:beforeLines="20" w:before="48"/>
              <w:jc w:val="center"/>
            </w:pPr>
            <w:r w:rsidRPr="00BB5FC0">
              <w:sym w:font="Wingdings 2" w:char="F099"/>
            </w:r>
          </w:p>
        </w:tc>
        <w:tc>
          <w:tcPr>
            <w:tcW w:w="600" w:type="dxa"/>
          </w:tcPr>
          <w:p w14:paraId="41487CEA" w14:textId="77777777" w:rsidR="0077513D" w:rsidRDefault="0077513D" w:rsidP="0077513D">
            <w:pPr>
              <w:spacing w:beforeLines="20" w:before="48"/>
              <w:jc w:val="center"/>
            </w:pPr>
            <w:r w:rsidRPr="00BB5FC0">
              <w:sym w:font="Wingdings 2" w:char="F099"/>
            </w:r>
          </w:p>
        </w:tc>
        <w:tc>
          <w:tcPr>
            <w:tcW w:w="600" w:type="dxa"/>
          </w:tcPr>
          <w:p w14:paraId="14ECE9E3" w14:textId="77777777" w:rsidR="0077513D" w:rsidRDefault="0077513D" w:rsidP="0077513D">
            <w:pPr>
              <w:spacing w:beforeLines="20" w:before="48"/>
              <w:jc w:val="center"/>
            </w:pPr>
            <w:r w:rsidRPr="00BB5FC0">
              <w:sym w:font="Wingdings 2" w:char="F099"/>
            </w:r>
          </w:p>
        </w:tc>
        <w:tc>
          <w:tcPr>
            <w:tcW w:w="1134" w:type="dxa"/>
          </w:tcPr>
          <w:p w14:paraId="5FD56AE0" w14:textId="77777777" w:rsidR="0077513D" w:rsidRDefault="0077513D" w:rsidP="0077513D">
            <w:pPr>
              <w:spacing w:beforeLines="20" w:before="48"/>
              <w:jc w:val="center"/>
            </w:pPr>
            <w:r w:rsidRPr="00BB5FC0">
              <w:sym w:font="Wingdings 2" w:char="F099"/>
            </w:r>
          </w:p>
        </w:tc>
      </w:tr>
      <w:tr w:rsidR="0077513D" w:rsidRPr="00B541B0" w14:paraId="23C5D7D4" w14:textId="77777777" w:rsidTr="0077513D">
        <w:tc>
          <w:tcPr>
            <w:tcW w:w="4786" w:type="dxa"/>
          </w:tcPr>
          <w:p w14:paraId="45F062C3" w14:textId="77777777" w:rsidR="0077513D" w:rsidRPr="00017CA6" w:rsidRDefault="0077513D" w:rsidP="0077513D">
            <w:pPr>
              <w:spacing w:beforeLines="20" w:before="48"/>
            </w:pPr>
            <w:r w:rsidRPr="00017CA6">
              <w:t xml:space="preserve">Determining how public money should be spent on biosecurity </w:t>
            </w:r>
          </w:p>
        </w:tc>
        <w:tc>
          <w:tcPr>
            <w:tcW w:w="1134" w:type="dxa"/>
          </w:tcPr>
          <w:p w14:paraId="32099A06" w14:textId="77777777" w:rsidR="0077513D" w:rsidRDefault="0077513D" w:rsidP="0077513D">
            <w:pPr>
              <w:spacing w:beforeLines="20" w:before="48"/>
              <w:jc w:val="center"/>
            </w:pPr>
            <w:r w:rsidRPr="00BB5FC0">
              <w:sym w:font="Wingdings 2" w:char="F099"/>
            </w:r>
          </w:p>
        </w:tc>
        <w:tc>
          <w:tcPr>
            <w:tcW w:w="600" w:type="dxa"/>
          </w:tcPr>
          <w:p w14:paraId="3566A116" w14:textId="77777777" w:rsidR="0077513D" w:rsidRDefault="0077513D" w:rsidP="0077513D">
            <w:pPr>
              <w:spacing w:beforeLines="20" w:before="48"/>
              <w:jc w:val="center"/>
            </w:pPr>
            <w:r w:rsidRPr="00BB5FC0">
              <w:sym w:font="Wingdings 2" w:char="F099"/>
            </w:r>
          </w:p>
        </w:tc>
        <w:tc>
          <w:tcPr>
            <w:tcW w:w="600" w:type="dxa"/>
          </w:tcPr>
          <w:p w14:paraId="3D3E98B7" w14:textId="77777777" w:rsidR="0077513D" w:rsidRDefault="0077513D" w:rsidP="0077513D">
            <w:pPr>
              <w:spacing w:beforeLines="20" w:before="48"/>
              <w:jc w:val="center"/>
            </w:pPr>
            <w:r w:rsidRPr="00BB5FC0">
              <w:sym w:font="Wingdings 2" w:char="F099"/>
            </w:r>
          </w:p>
        </w:tc>
        <w:tc>
          <w:tcPr>
            <w:tcW w:w="964" w:type="dxa"/>
          </w:tcPr>
          <w:p w14:paraId="25758883" w14:textId="77777777" w:rsidR="0077513D" w:rsidRDefault="0077513D" w:rsidP="0077513D">
            <w:pPr>
              <w:spacing w:beforeLines="20" w:before="48"/>
              <w:jc w:val="center"/>
            </w:pPr>
            <w:r w:rsidRPr="00BB5FC0">
              <w:sym w:font="Wingdings 2" w:char="F099"/>
            </w:r>
          </w:p>
        </w:tc>
        <w:tc>
          <w:tcPr>
            <w:tcW w:w="600" w:type="dxa"/>
          </w:tcPr>
          <w:p w14:paraId="2902CFE0" w14:textId="77777777" w:rsidR="0077513D" w:rsidRDefault="0077513D" w:rsidP="0077513D">
            <w:pPr>
              <w:spacing w:beforeLines="20" w:before="48"/>
              <w:jc w:val="center"/>
            </w:pPr>
            <w:r w:rsidRPr="00BB5FC0">
              <w:sym w:font="Wingdings 2" w:char="F099"/>
            </w:r>
          </w:p>
        </w:tc>
        <w:tc>
          <w:tcPr>
            <w:tcW w:w="600" w:type="dxa"/>
          </w:tcPr>
          <w:p w14:paraId="6BED8662" w14:textId="77777777" w:rsidR="0077513D" w:rsidRDefault="0077513D" w:rsidP="0077513D">
            <w:pPr>
              <w:spacing w:beforeLines="20" w:before="48"/>
              <w:jc w:val="center"/>
            </w:pPr>
            <w:r w:rsidRPr="00BB5FC0">
              <w:sym w:font="Wingdings 2" w:char="F099"/>
            </w:r>
          </w:p>
        </w:tc>
        <w:tc>
          <w:tcPr>
            <w:tcW w:w="1134" w:type="dxa"/>
          </w:tcPr>
          <w:p w14:paraId="12495EC8" w14:textId="77777777" w:rsidR="0077513D" w:rsidRDefault="0077513D" w:rsidP="0077513D">
            <w:pPr>
              <w:spacing w:beforeLines="20" w:before="48"/>
              <w:jc w:val="center"/>
            </w:pPr>
            <w:r w:rsidRPr="00BB5FC0">
              <w:sym w:font="Wingdings 2" w:char="F099"/>
            </w:r>
          </w:p>
        </w:tc>
      </w:tr>
      <w:tr w:rsidR="0077513D" w:rsidRPr="00B541B0" w14:paraId="6DC59390" w14:textId="77777777" w:rsidTr="0077513D">
        <w:trPr>
          <w:cnfStyle w:val="000000100000" w:firstRow="0" w:lastRow="0" w:firstColumn="0" w:lastColumn="0" w:oddVBand="0" w:evenVBand="0" w:oddHBand="1" w:evenHBand="0" w:firstRowFirstColumn="0" w:firstRowLastColumn="0" w:lastRowFirstColumn="0" w:lastRowLastColumn="0"/>
        </w:trPr>
        <w:tc>
          <w:tcPr>
            <w:tcW w:w="4786" w:type="dxa"/>
          </w:tcPr>
          <w:p w14:paraId="77F5AA31" w14:textId="77777777" w:rsidR="0077513D" w:rsidRPr="00017CA6" w:rsidRDefault="0077513D" w:rsidP="0077513D">
            <w:pPr>
              <w:spacing w:beforeLines="20" w:before="48"/>
            </w:pPr>
            <w:r w:rsidRPr="00017CA6">
              <w:t xml:space="preserve">The process for identifying public and private benefits of biosecurity activities </w:t>
            </w:r>
          </w:p>
        </w:tc>
        <w:tc>
          <w:tcPr>
            <w:tcW w:w="1134" w:type="dxa"/>
          </w:tcPr>
          <w:p w14:paraId="268F1343" w14:textId="77777777" w:rsidR="0077513D" w:rsidRDefault="0077513D" w:rsidP="0077513D">
            <w:pPr>
              <w:spacing w:beforeLines="20" w:before="48"/>
              <w:jc w:val="center"/>
            </w:pPr>
            <w:r w:rsidRPr="00BB5FC0">
              <w:sym w:font="Wingdings 2" w:char="F099"/>
            </w:r>
          </w:p>
        </w:tc>
        <w:tc>
          <w:tcPr>
            <w:tcW w:w="600" w:type="dxa"/>
          </w:tcPr>
          <w:p w14:paraId="59E2B5C0" w14:textId="77777777" w:rsidR="0077513D" w:rsidRDefault="0077513D" w:rsidP="0077513D">
            <w:pPr>
              <w:spacing w:beforeLines="20" w:before="48"/>
              <w:jc w:val="center"/>
            </w:pPr>
            <w:r w:rsidRPr="00BB5FC0">
              <w:sym w:font="Wingdings 2" w:char="F099"/>
            </w:r>
          </w:p>
        </w:tc>
        <w:tc>
          <w:tcPr>
            <w:tcW w:w="600" w:type="dxa"/>
          </w:tcPr>
          <w:p w14:paraId="69635A5E" w14:textId="77777777" w:rsidR="0077513D" w:rsidRDefault="0077513D" w:rsidP="0077513D">
            <w:pPr>
              <w:spacing w:beforeLines="20" w:before="48"/>
              <w:jc w:val="center"/>
            </w:pPr>
            <w:r w:rsidRPr="00BB5FC0">
              <w:sym w:font="Wingdings 2" w:char="F099"/>
            </w:r>
          </w:p>
        </w:tc>
        <w:tc>
          <w:tcPr>
            <w:tcW w:w="964" w:type="dxa"/>
          </w:tcPr>
          <w:p w14:paraId="238EBD43" w14:textId="77777777" w:rsidR="0077513D" w:rsidRDefault="0077513D" w:rsidP="0077513D">
            <w:pPr>
              <w:spacing w:beforeLines="20" w:before="48"/>
              <w:jc w:val="center"/>
            </w:pPr>
            <w:r w:rsidRPr="00BB5FC0">
              <w:sym w:font="Wingdings 2" w:char="F099"/>
            </w:r>
          </w:p>
        </w:tc>
        <w:tc>
          <w:tcPr>
            <w:tcW w:w="600" w:type="dxa"/>
          </w:tcPr>
          <w:p w14:paraId="35FF8982" w14:textId="77777777" w:rsidR="0077513D" w:rsidRDefault="0077513D" w:rsidP="0077513D">
            <w:pPr>
              <w:spacing w:beforeLines="20" w:before="48"/>
              <w:jc w:val="center"/>
            </w:pPr>
            <w:r w:rsidRPr="00BB5FC0">
              <w:sym w:font="Wingdings 2" w:char="F099"/>
            </w:r>
          </w:p>
        </w:tc>
        <w:tc>
          <w:tcPr>
            <w:tcW w:w="600" w:type="dxa"/>
          </w:tcPr>
          <w:p w14:paraId="274B15B9" w14:textId="77777777" w:rsidR="0077513D" w:rsidRDefault="0077513D" w:rsidP="0077513D">
            <w:pPr>
              <w:spacing w:beforeLines="20" w:before="48"/>
              <w:jc w:val="center"/>
            </w:pPr>
            <w:r w:rsidRPr="00BB5FC0">
              <w:sym w:font="Wingdings 2" w:char="F099"/>
            </w:r>
          </w:p>
        </w:tc>
        <w:tc>
          <w:tcPr>
            <w:tcW w:w="1134" w:type="dxa"/>
          </w:tcPr>
          <w:p w14:paraId="068D175A" w14:textId="77777777" w:rsidR="0077513D" w:rsidRDefault="0077513D" w:rsidP="0077513D">
            <w:pPr>
              <w:spacing w:beforeLines="20" w:before="48"/>
              <w:jc w:val="center"/>
            </w:pPr>
            <w:r w:rsidRPr="00BB5FC0">
              <w:sym w:font="Wingdings 2" w:char="F099"/>
            </w:r>
          </w:p>
        </w:tc>
      </w:tr>
    </w:tbl>
    <w:p w14:paraId="4FBADA2C" w14:textId="77777777" w:rsidR="0077513D" w:rsidRDefault="0077513D" w:rsidP="0077513D">
      <w:pPr>
        <w:spacing w:before="240"/>
      </w:pPr>
      <w:r w:rsidRPr="00017CA6">
        <w:t xml:space="preserve">Other (please </w:t>
      </w:r>
      <w:proofErr w:type="gramStart"/>
      <w:r w:rsidRPr="00017CA6">
        <w:t>specify</w:t>
      </w:r>
      <w:proofErr w:type="gramEnd"/>
      <w:r w:rsidRPr="00017CA6">
        <w:t xml:space="preserve"> and rate)</w:t>
      </w:r>
    </w:p>
    <w:tbl>
      <w:tblPr>
        <w:tblStyle w:val="TableGrid"/>
        <w:tblW w:w="0" w:type="auto"/>
        <w:tblInd w:w="675" w:type="dxa"/>
        <w:tblLook w:val="04A0" w:firstRow="1" w:lastRow="0" w:firstColumn="1" w:lastColumn="0" w:noHBand="0" w:noVBand="1"/>
        <w:tblDescription w:val="Question 11 -box to include other issue barrier to biosecurity"/>
      </w:tblPr>
      <w:tblGrid>
        <w:gridCol w:w="7230"/>
      </w:tblGrid>
      <w:tr w:rsidR="0077513D" w14:paraId="067029EA" w14:textId="77777777" w:rsidTr="0077513D">
        <w:trPr>
          <w:cantSplit/>
          <w:trHeight w:val="649"/>
          <w:tblHeader/>
        </w:trPr>
        <w:tc>
          <w:tcPr>
            <w:tcW w:w="7230" w:type="dxa"/>
            <w:tcBorders>
              <w:top w:val="nil"/>
              <w:left w:val="nil"/>
              <w:bottom w:val="nil"/>
              <w:right w:val="nil"/>
            </w:tcBorders>
            <w:shd w:val="clear" w:color="auto" w:fill="EEECE1" w:themeFill="background2"/>
          </w:tcPr>
          <w:p w14:paraId="4E50A253" w14:textId="77777777" w:rsidR="0077513D" w:rsidRDefault="0077513D" w:rsidP="0077513D"/>
        </w:tc>
      </w:tr>
    </w:tbl>
    <w:p w14:paraId="5F73136D" w14:textId="77777777" w:rsidR="00CF5707" w:rsidRDefault="00CF5707" w:rsidP="0077513D"/>
    <w:p w14:paraId="621BCE51" w14:textId="77777777" w:rsidR="00CF5707" w:rsidRDefault="00CF5707">
      <w:pPr>
        <w:spacing w:before="0" w:line="240" w:lineRule="auto"/>
        <w:jc w:val="center"/>
      </w:pPr>
      <w:r>
        <w:br w:type="page"/>
      </w:r>
    </w:p>
    <w:p w14:paraId="58D7580C" w14:textId="77777777" w:rsidR="00F45E3D" w:rsidRDefault="00F45E3D" w:rsidP="00F45E3D">
      <w:pPr>
        <w:pStyle w:val="question"/>
      </w:pPr>
      <w:r w:rsidRPr="00D308C8">
        <w:lastRenderedPageBreak/>
        <w:t xml:space="preserve">13. </w:t>
      </w:r>
      <w:r w:rsidRPr="00D308C8">
        <w:tab/>
        <w:t xml:space="preserve">What do you see as your top needs with regard to maintaining or improving biosecurity for Western Australia? </w:t>
      </w:r>
    </w:p>
    <w:tbl>
      <w:tblPr>
        <w:tblStyle w:val="TableGrid"/>
        <w:tblW w:w="9780" w:type="dxa"/>
        <w:tblInd w:w="534"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Description w:val="Question 13 - section to include top needs to improve biosecurity in Western Australia"/>
      </w:tblPr>
      <w:tblGrid>
        <w:gridCol w:w="567"/>
        <w:gridCol w:w="9213"/>
      </w:tblGrid>
      <w:tr w:rsidR="00F45E3D" w14:paraId="650A69EA" w14:textId="77777777" w:rsidTr="006440A8">
        <w:trPr>
          <w:cantSplit/>
          <w:tblHeader/>
        </w:trPr>
        <w:tc>
          <w:tcPr>
            <w:tcW w:w="567" w:type="dxa"/>
            <w:shd w:val="clear" w:color="auto" w:fill="EEECE1" w:themeFill="background2"/>
          </w:tcPr>
          <w:p w14:paraId="58599E32" w14:textId="77777777" w:rsidR="00F45E3D" w:rsidRPr="00483911" w:rsidRDefault="00F45E3D" w:rsidP="006440A8">
            <w:pPr>
              <w:pStyle w:val="question"/>
              <w:rPr>
                <w:b w:val="0"/>
              </w:rPr>
            </w:pPr>
            <w:r w:rsidRPr="00483911">
              <w:rPr>
                <w:b w:val="0"/>
              </w:rPr>
              <w:t>1</w:t>
            </w:r>
          </w:p>
        </w:tc>
        <w:tc>
          <w:tcPr>
            <w:tcW w:w="9213" w:type="dxa"/>
            <w:shd w:val="clear" w:color="auto" w:fill="EEECE1" w:themeFill="background2"/>
          </w:tcPr>
          <w:p w14:paraId="0116DC34" w14:textId="77777777" w:rsidR="00F45E3D" w:rsidRDefault="00F45E3D" w:rsidP="006440A8">
            <w:pPr>
              <w:pStyle w:val="question"/>
            </w:pPr>
            <w:r w:rsidRPr="00F6372B">
              <w:rPr>
                <w:color w:val="FFFFFF" w:themeColor="background1"/>
              </w:rPr>
              <w:t>.</w:t>
            </w:r>
          </w:p>
        </w:tc>
      </w:tr>
      <w:tr w:rsidR="00F45E3D" w14:paraId="73E2AA6E" w14:textId="77777777" w:rsidTr="006440A8">
        <w:trPr>
          <w:cantSplit/>
        </w:trPr>
        <w:tc>
          <w:tcPr>
            <w:tcW w:w="567" w:type="dxa"/>
            <w:shd w:val="clear" w:color="auto" w:fill="EEECE1" w:themeFill="background2"/>
          </w:tcPr>
          <w:p w14:paraId="5B8E2A99" w14:textId="77777777" w:rsidR="00F45E3D" w:rsidRPr="00483911" w:rsidRDefault="00F45E3D" w:rsidP="006440A8">
            <w:pPr>
              <w:pStyle w:val="question"/>
              <w:rPr>
                <w:b w:val="0"/>
              </w:rPr>
            </w:pPr>
            <w:r w:rsidRPr="00483911">
              <w:rPr>
                <w:b w:val="0"/>
              </w:rPr>
              <w:t>2</w:t>
            </w:r>
          </w:p>
        </w:tc>
        <w:tc>
          <w:tcPr>
            <w:tcW w:w="9213" w:type="dxa"/>
            <w:shd w:val="clear" w:color="auto" w:fill="EEECE1" w:themeFill="background2"/>
          </w:tcPr>
          <w:p w14:paraId="780506CC" w14:textId="77777777" w:rsidR="00F45E3D" w:rsidRDefault="00F45E3D" w:rsidP="006440A8">
            <w:pPr>
              <w:pStyle w:val="question"/>
            </w:pPr>
          </w:p>
        </w:tc>
      </w:tr>
      <w:tr w:rsidR="00F45E3D" w14:paraId="2D074BB8" w14:textId="77777777" w:rsidTr="006440A8">
        <w:trPr>
          <w:cantSplit/>
        </w:trPr>
        <w:tc>
          <w:tcPr>
            <w:tcW w:w="567" w:type="dxa"/>
            <w:shd w:val="clear" w:color="auto" w:fill="EEECE1" w:themeFill="background2"/>
          </w:tcPr>
          <w:p w14:paraId="59B13492" w14:textId="77777777" w:rsidR="00F45E3D" w:rsidRPr="00483911" w:rsidRDefault="00F45E3D" w:rsidP="006440A8">
            <w:pPr>
              <w:pStyle w:val="question"/>
              <w:rPr>
                <w:b w:val="0"/>
              </w:rPr>
            </w:pPr>
            <w:r w:rsidRPr="00483911">
              <w:rPr>
                <w:b w:val="0"/>
              </w:rPr>
              <w:t>3</w:t>
            </w:r>
          </w:p>
        </w:tc>
        <w:tc>
          <w:tcPr>
            <w:tcW w:w="9213" w:type="dxa"/>
            <w:shd w:val="clear" w:color="auto" w:fill="EEECE1" w:themeFill="background2"/>
          </w:tcPr>
          <w:p w14:paraId="7E3AB38E" w14:textId="77777777" w:rsidR="00F45E3D" w:rsidRDefault="00F45E3D" w:rsidP="006440A8">
            <w:pPr>
              <w:pStyle w:val="question"/>
            </w:pPr>
          </w:p>
        </w:tc>
      </w:tr>
    </w:tbl>
    <w:p w14:paraId="0BF09283" w14:textId="77777777" w:rsidR="00F45E3D" w:rsidRPr="00D308C8" w:rsidRDefault="00F45E3D" w:rsidP="00F45E3D">
      <w:pPr>
        <w:pStyle w:val="question"/>
      </w:pPr>
    </w:p>
    <w:p w14:paraId="273155B4" w14:textId="77777777" w:rsidR="00F45E3D" w:rsidRDefault="00F45E3D" w:rsidP="00F45E3D">
      <w:pPr>
        <w:pStyle w:val="question"/>
      </w:pPr>
      <w:r w:rsidRPr="00017CA6">
        <w:t xml:space="preserve">14. </w:t>
      </w:r>
      <w:r>
        <w:tab/>
      </w:r>
      <w:r w:rsidRPr="00017CA6">
        <w:t xml:space="preserve">What do you see as the key biosecurity </w:t>
      </w:r>
      <w:r>
        <w:t xml:space="preserve">roles and responsibilities </w:t>
      </w:r>
      <w:proofErr w:type="gramStart"/>
      <w:r>
        <w:t>of:</w:t>
      </w:r>
      <w:proofErr w:type="gramEnd"/>
      <w:r>
        <w:t xml:space="preserve"> </w:t>
      </w:r>
    </w:p>
    <w:tbl>
      <w:tblPr>
        <w:tblStyle w:val="TableGrid"/>
        <w:tblW w:w="0" w:type="auto"/>
        <w:tblInd w:w="567"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EEECE1" w:themeFill="background2"/>
        <w:tblLook w:val="04A0" w:firstRow="1" w:lastRow="0" w:firstColumn="1" w:lastColumn="0" w:noHBand="0" w:noVBand="1"/>
        <w:tblDescription w:val="Question 14 - section to include  key biosecurity roles of responsibilities for each group"/>
      </w:tblPr>
      <w:tblGrid>
        <w:gridCol w:w="1427"/>
        <w:gridCol w:w="8431"/>
      </w:tblGrid>
      <w:tr w:rsidR="00F45E3D" w:rsidRPr="0056305F" w14:paraId="37293596" w14:textId="77777777" w:rsidTr="006440A8">
        <w:trPr>
          <w:cantSplit/>
          <w:tblHeader/>
        </w:trPr>
        <w:tc>
          <w:tcPr>
            <w:tcW w:w="534" w:type="dxa"/>
            <w:shd w:val="clear" w:color="auto" w:fill="EEECE1" w:themeFill="background2"/>
          </w:tcPr>
          <w:p w14:paraId="2AB19104" w14:textId="77777777" w:rsidR="00F45E3D" w:rsidRPr="0056305F" w:rsidRDefault="00F45E3D" w:rsidP="006440A8">
            <w:r w:rsidRPr="0056305F">
              <w:t xml:space="preserve">My sector / area of interest </w:t>
            </w:r>
          </w:p>
        </w:tc>
        <w:tc>
          <w:tcPr>
            <w:tcW w:w="9321" w:type="dxa"/>
            <w:shd w:val="clear" w:color="auto" w:fill="EEECE1" w:themeFill="background2"/>
          </w:tcPr>
          <w:p w14:paraId="791509E3" w14:textId="77777777" w:rsidR="00F45E3D" w:rsidRPr="0056305F" w:rsidRDefault="00F45E3D" w:rsidP="006440A8">
            <w:pPr>
              <w:pStyle w:val="question"/>
            </w:pPr>
            <w:r w:rsidRPr="00F6372B">
              <w:rPr>
                <w:color w:val="FFFFFF" w:themeColor="background1"/>
              </w:rPr>
              <w:t>.</w:t>
            </w:r>
          </w:p>
        </w:tc>
      </w:tr>
      <w:tr w:rsidR="00F45E3D" w:rsidRPr="0056305F" w14:paraId="61DCB77D" w14:textId="77777777" w:rsidTr="006440A8">
        <w:trPr>
          <w:cantSplit/>
        </w:trPr>
        <w:tc>
          <w:tcPr>
            <w:tcW w:w="534" w:type="dxa"/>
            <w:shd w:val="clear" w:color="auto" w:fill="EEECE1" w:themeFill="background2"/>
          </w:tcPr>
          <w:p w14:paraId="42F99987" w14:textId="77777777" w:rsidR="00F45E3D" w:rsidRPr="00ED2BD3" w:rsidRDefault="00F45E3D" w:rsidP="006440A8">
            <w:pPr>
              <w:pStyle w:val="question"/>
              <w:rPr>
                <w:b w:val="0"/>
              </w:rPr>
            </w:pPr>
            <w:r w:rsidRPr="00ED2BD3">
              <w:rPr>
                <w:b w:val="0"/>
              </w:rPr>
              <w:t>Industry</w:t>
            </w:r>
          </w:p>
        </w:tc>
        <w:tc>
          <w:tcPr>
            <w:tcW w:w="9321" w:type="dxa"/>
            <w:shd w:val="clear" w:color="auto" w:fill="EEECE1" w:themeFill="background2"/>
          </w:tcPr>
          <w:p w14:paraId="7C83A84E" w14:textId="77777777" w:rsidR="00F45E3D" w:rsidRPr="0056305F" w:rsidRDefault="00F45E3D" w:rsidP="006440A8">
            <w:pPr>
              <w:pStyle w:val="question"/>
            </w:pPr>
            <w:r>
              <w:t xml:space="preserve"> </w:t>
            </w:r>
          </w:p>
        </w:tc>
      </w:tr>
      <w:tr w:rsidR="00F45E3D" w:rsidRPr="0056305F" w14:paraId="0180AD5A" w14:textId="77777777" w:rsidTr="006440A8">
        <w:trPr>
          <w:cantSplit/>
        </w:trPr>
        <w:tc>
          <w:tcPr>
            <w:tcW w:w="534" w:type="dxa"/>
            <w:shd w:val="clear" w:color="auto" w:fill="EEECE1" w:themeFill="background2"/>
          </w:tcPr>
          <w:p w14:paraId="6B7819B0" w14:textId="77777777" w:rsidR="00F45E3D" w:rsidRPr="0056305F" w:rsidRDefault="00F45E3D" w:rsidP="006440A8">
            <w:r w:rsidRPr="0056305F">
              <w:t xml:space="preserve">Government </w:t>
            </w:r>
          </w:p>
        </w:tc>
        <w:tc>
          <w:tcPr>
            <w:tcW w:w="9321" w:type="dxa"/>
            <w:shd w:val="clear" w:color="auto" w:fill="EEECE1" w:themeFill="background2"/>
          </w:tcPr>
          <w:p w14:paraId="797E68A0" w14:textId="77777777" w:rsidR="00F45E3D" w:rsidRPr="0056305F" w:rsidRDefault="00F45E3D" w:rsidP="006440A8">
            <w:pPr>
              <w:pStyle w:val="question"/>
            </w:pPr>
            <w:r>
              <w:t xml:space="preserve"> </w:t>
            </w:r>
          </w:p>
        </w:tc>
      </w:tr>
      <w:tr w:rsidR="00F45E3D" w:rsidRPr="0056305F" w14:paraId="638D63D2" w14:textId="77777777" w:rsidTr="006440A8">
        <w:trPr>
          <w:cantSplit/>
        </w:trPr>
        <w:tc>
          <w:tcPr>
            <w:tcW w:w="534" w:type="dxa"/>
            <w:shd w:val="clear" w:color="auto" w:fill="EEECE1" w:themeFill="background2"/>
          </w:tcPr>
          <w:p w14:paraId="40870679" w14:textId="77777777" w:rsidR="00F45E3D" w:rsidRPr="0056305F" w:rsidRDefault="00F45E3D" w:rsidP="006440A8">
            <w:r w:rsidRPr="0056305F">
              <w:t xml:space="preserve">Community </w:t>
            </w:r>
          </w:p>
        </w:tc>
        <w:tc>
          <w:tcPr>
            <w:tcW w:w="9321" w:type="dxa"/>
            <w:shd w:val="clear" w:color="auto" w:fill="EEECE1" w:themeFill="background2"/>
          </w:tcPr>
          <w:p w14:paraId="17103351" w14:textId="77777777" w:rsidR="00F45E3D" w:rsidRPr="0056305F" w:rsidRDefault="00F45E3D" w:rsidP="006440A8">
            <w:pPr>
              <w:pStyle w:val="question"/>
            </w:pPr>
            <w:r>
              <w:t xml:space="preserve"> </w:t>
            </w:r>
          </w:p>
        </w:tc>
      </w:tr>
    </w:tbl>
    <w:p w14:paraId="423B4E60" w14:textId="77777777" w:rsidR="00F45E3D" w:rsidRDefault="00F45E3D" w:rsidP="00F45E3D">
      <w:pPr>
        <w:pStyle w:val="question"/>
      </w:pPr>
    </w:p>
    <w:p w14:paraId="783A7F9B" w14:textId="77777777" w:rsidR="00F45E3D" w:rsidRPr="0014238B" w:rsidRDefault="00F45E3D" w:rsidP="00F45E3D">
      <w:pPr>
        <w:pStyle w:val="question"/>
      </w:pPr>
      <w:r w:rsidRPr="0014238B">
        <w:t xml:space="preserve">15. </w:t>
      </w:r>
      <w:r w:rsidRPr="0014238B">
        <w:tab/>
        <w:t xml:space="preserve">Please provide any final comments on biosecurity </w:t>
      </w:r>
    </w:p>
    <w:tbl>
      <w:tblPr>
        <w:tblStyle w:val="TableGrid"/>
        <w:tblW w:w="0" w:type="auto"/>
        <w:tblInd w:w="534" w:type="dxa"/>
        <w:tblLook w:val="04A0" w:firstRow="1" w:lastRow="0" w:firstColumn="1" w:lastColumn="0" w:noHBand="0" w:noVBand="1"/>
        <w:tblDescription w:val="Question 15 - Box to include final comments on biosecurity"/>
      </w:tblPr>
      <w:tblGrid>
        <w:gridCol w:w="9888"/>
      </w:tblGrid>
      <w:tr w:rsidR="00F45E3D" w14:paraId="2B885F84" w14:textId="77777777" w:rsidTr="006440A8">
        <w:trPr>
          <w:cantSplit/>
          <w:trHeight w:val="1721"/>
          <w:tblHeader/>
        </w:trPr>
        <w:tc>
          <w:tcPr>
            <w:tcW w:w="9888" w:type="dxa"/>
            <w:tcBorders>
              <w:top w:val="nil"/>
              <w:left w:val="nil"/>
              <w:bottom w:val="nil"/>
              <w:right w:val="nil"/>
            </w:tcBorders>
            <w:shd w:val="clear" w:color="auto" w:fill="EEECE1" w:themeFill="background2"/>
          </w:tcPr>
          <w:p w14:paraId="773E4921" w14:textId="77777777" w:rsidR="00F45E3D" w:rsidRDefault="00F45E3D" w:rsidP="006440A8"/>
        </w:tc>
      </w:tr>
    </w:tbl>
    <w:p w14:paraId="29C50D6B" w14:textId="77777777" w:rsidR="00F45E3D" w:rsidRPr="00017CA6" w:rsidRDefault="00F45E3D" w:rsidP="00F45E3D"/>
    <w:p w14:paraId="07A079C5" w14:textId="77777777" w:rsidR="00F45E3D" w:rsidRDefault="00F45E3D" w:rsidP="00F45E3D">
      <w:pPr>
        <w:pStyle w:val="question"/>
      </w:pPr>
      <w:r w:rsidRPr="00017CA6">
        <w:t xml:space="preserve">16. </w:t>
      </w:r>
      <w:r>
        <w:tab/>
        <w:t>T</w:t>
      </w:r>
      <w:r w:rsidRPr="00017CA6">
        <w:t xml:space="preserve">hank you for taking part in this survey. If you would like a copy of the results, please enter your email address below. </w:t>
      </w:r>
    </w:p>
    <w:tbl>
      <w:tblPr>
        <w:tblStyle w:val="TableGrid"/>
        <w:tblW w:w="9781" w:type="dxa"/>
        <w:tblInd w:w="675" w:type="dxa"/>
        <w:tblLook w:val="04A0" w:firstRow="1" w:lastRow="0" w:firstColumn="1" w:lastColumn="0" w:noHBand="0" w:noVBand="1"/>
        <w:tblDescription w:val="Question 16 - Box to include email address to receive copy of the final report"/>
      </w:tblPr>
      <w:tblGrid>
        <w:gridCol w:w="9781"/>
      </w:tblGrid>
      <w:tr w:rsidR="00F45E3D" w14:paraId="7E14CC4C" w14:textId="77777777" w:rsidTr="006440A8">
        <w:trPr>
          <w:cantSplit/>
          <w:trHeight w:val="1344"/>
          <w:tblHeader/>
        </w:trPr>
        <w:tc>
          <w:tcPr>
            <w:tcW w:w="9781" w:type="dxa"/>
            <w:tcBorders>
              <w:top w:val="nil"/>
              <w:left w:val="nil"/>
              <w:bottom w:val="nil"/>
              <w:right w:val="nil"/>
            </w:tcBorders>
            <w:shd w:val="clear" w:color="auto" w:fill="EEECE1" w:themeFill="background2"/>
          </w:tcPr>
          <w:p w14:paraId="326C4160" w14:textId="77777777" w:rsidR="00F45E3D" w:rsidRDefault="00F45E3D" w:rsidP="006440A8"/>
        </w:tc>
      </w:tr>
    </w:tbl>
    <w:p w14:paraId="7EEE8A4C" w14:textId="77777777" w:rsidR="00F45E3D" w:rsidRPr="00E36846" w:rsidRDefault="00F45E3D" w:rsidP="00F45E3D"/>
    <w:p w14:paraId="22BCE5ED" w14:textId="77777777" w:rsidR="00F45E3D" w:rsidRDefault="00F45E3D">
      <w:pPr>
        <w:spacing w:before="0" w:line="240" w:lineRule="auto"/>
        <w:jc w:val="center"/>
      </w:pPr>
    </w:p>
    <w:p w14:paraId="4BE4C679" w14:textId="210D38C7" w:rsidR="00F45E3D" w:rsidRDefault="00F45E3D" w:rsidP="00F45E3D">
      <w:pPr>
        <w:spacing w:before="0" w:line="240" w:lineRule="auto"/>
      </w:pPr>
    </w:p>
    <w:sectPr w:rsidR="00F45E3D" w:rsidSect="00F45E3D">
      <w:pgSz w:w="11907" w:h="16840" w:code="9"/>
      <w:pgMar w:top="709" w:right="705" w:bottom="568" w:left="993" w:header="720" w:footer="74" w:gutter="0"/>
      <w:pgBorders w:offsetFrom="page">
        <w:top w:val="single" w:sz="2" w:space="15" w:color="000000" w:themeColor="text1"/>
        <w:left w:val="single" w:sz="2" w:space="15" w:color="000000" w:themeColor="text1"/>
        <w:bottom w:val="single" w:sz="2" w:space="15" w:color="000000" w:themeColor="text1"/>
        <w:right w:val="single" w:sz="2" w:space="15" w:color="000000" w:themeColor="text1"/>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4A32C" w14:textId="77777777" w:rsidR="00E357DD" w:rsidRDefault="00E357DD" w:rsidP="00F50741">
      <w:r>
        <w:separator/>
      </w:r>
    </w:p>
  </w:endnote>
  <w:endnote w:type="continuationSeparator" w:id="0">
    <w:p w14:paraId="51E017E1" w14:textId="77777777" w:rsidR="00E357DD" w:rsidRDefault="00E357DD" w:rsidP="00F5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637762"/>
      <w:docPartObj>
        <w:docPartGallery w:val="Page Numbers (Bottom of Page)"/>
        <w:docPartUnique/>
      </w:docPartObj>
    </w:sdtPr>
    <w:sdtEndPr/>
    <w:sdtContent>
      <w:p w14:paraId="5AA048F7" w14:textId="77777777" w:rsidR="006440A8" w:rsidRDefault="006440A8" w:rsidP="00473C45">
        <w:pPr>
          <w:pStyle w:val="Footer"/>
          <w:jc w:val="center"/>
        </w:pPr>
        <w:r>
          <w:fldChar w:fldCharType="begin"/>
        </w:r>
        <w:r>
          <w:instrText xml:space="preserve"> PAGE  \* ArabicDash </w:instrText>
        </w:r>
        <w:r>
          <w:fldChar w:fldCharType="separate"/>
        </w:r>
        <w:r w:rsidR="00195214">
          <w:rPr>
            <w:noProof/>
          </w:rPr>
          <w:t>- 5 -</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218452"/>
      <w:docPartObj>
        <w:docPartGallery w:val="Page Numbers (Bottom of Page)"/>
        <w:docPartUnique/>
      </w:docPartObj>
    </w:sdtPr>
    <w:sdtEndPr/>
    <w:sdtContent>
      <w:p w14:paraId="4E231F65" w14:textId="243DF171" w:rsidR="006440A8" w:rsidRDefault="006440A8" w:rsidP="00190F6F">
        <w:pPr>
          <w:pStyle w:val="Footer"/>
          <w:jc w:val="center"/>
        </w:pPr>
        <w:r>
          <w:fldChar w:fldCharType="begin"/>
        </w:r>
        <w:r>
          <w:instrText xml:space="preserve"> PAGE  \* ArabicDash </w:instrText>
        </w:r>
        <w:r>
          <w:fldChar w:fldCharType="separate"/>
        </w:r>
        <w:r w:rsidR="00195214">
          <w:rPr>
            <w:noProof/>
          </w:rPr>
          <w:t>- 2 -</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D2B1B" w14:textId="77777777" w:rsidR="006440A8" w:rsidRDefault="006440A8" w:rsidP="00FF1CC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086435"/>
      <w:docPartObj>
        <w:docPartGallery w:val="Page Numbers (Bottom of Page)"/>
        <w:docPartUnique/>
      </w:docPartObj>
    </w:sdtPr>
    <w:sdtEndPr/>
    <w:sdtContent>
      <w:p w14:paraId="4B709620" w14:textId="77777777" w:rsidR="006440A8" w:rsidRDefault="006440A8" w:rsidP="007A0D86">
        <w:pPr>
          <w:pStyle w:val="Footer"/>
          <w:jc w:val="center"/>
          <w:rPr>
            <w:noProof/>
          </w:rPr>
        </w:pPr>
        <w:r>
          <w:fldChar w:fldCharType="begin"/>
        </w:r>
        <w:r>
          <w:instrText xml:space="preserve"> PAGE   \* MERGEFORMAT </w:instrText>
        </w:r>
        <w:r>
          <w:fldChar w:fldCharType="separate"/>
        </w:r>
        <w:r w:rsidR="00195214">
          <w:rPr>
            <w:noProof/>
          </w:rPr>
          <w:t>28</w:t>
        </w:r>
        <w:r>
          <w:rPr>
            <w:noProof/>
          </w:rPr>
          <w:fldChar w:fldCharType="end"/>
        </w:r>
      </w:p>
      <w:p w14:paraId="2CD0B24F" w14:textId="393C1FB8" w:rsidR="006440A8" w:rsidRDefault="00E357DD" w:rsidP="007A0D86">
        <w:pPr>
          <w:pStyle w:val="Footer"/>
          <w:jc w:val="cente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55B7C" w14:textId="77777777" w:rsidR="006440A8" w:rsidRDefault="006440A8">
    <w:pPr>
      <w:pStyle w:val="Footer"/>
      <w:jc w:val="center"/>
    </w:pPr>
    <w:r>
      <w:t xml:space="preserve">Page </w:t>
    </w:r>
    <w:sdt>
      <w:sdtPr>
        <w:id w:val="14921450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95214">
          <w:rPr>
            <w:noProof/>
          </w:rPr>
          <w:t>36</w:t>
        </w:r>
        <w:r>
          <w:rPr>
            <w:noProof/>
          </w:rPr>
          <w:fldChar w:fldCharType="end"/>
        </w:r>
      </w:sdtContent>
    </w:sdt>
  </w:p>
  <w:p w14:paraId="40339F01" w14:textId="77777777" w:rsidR="006440A8" w:rsidRDefault="00644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7924E" w14:textId="77777777" w:rsidR="00E357DD" w:rsidRDefault="00E357DD" w:rsidP="00F50741">
      <w:r>
        <w:separator/>
      </w:r>
    </w:p>
  </w:footnote>
  <w:footnote w:type="continuationSeparator" w:id="0">
    <w:p w14:paraId="64046BD0" w14:textId="77777777" w:rsidR="00E357DD" w:rsidRDefault="00E357DD" w:rsidP="00F50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4CA3D" w14:textId="5CC3976B" w:rsidR="006440A8" w:rsidRDefault="006440A8">
    <w:pPr>
      <w:pStyle w:val="Header"/>
    </w:pPr>
    <w:r>
      <w:rPr>
        <w:noProof/>
        <w:lang w:eastAsia="en-AU"/>
      </w:rPr>
      <w:drawing>
        <wp:inline distT="0" distB="0" distL="0" distR="0" wp14:anchorId="41268F13" wp14:editId="3C851DFF">
          <wp:extent cx="6362700" cy="899160"/>
          <wp:effectExtent l="0" t="0" r="0" b="0"/>
          <wp:docPr id="15" name="Picture 15" descr="Banner: logos for the Biosecurity Council of Western Australia and the Government of Wester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899160"/>
                  </a:xfrm>
                  <a:prstGeom prst="rect">
                    <a:avLst/>
                  </a:prstGeom>
                  <a:noFill/>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811BA" w14:textId="543E8B5B" w:rsidR="006440A8" w:rsidRPr="0066303F" w:rsidRDefault="006440A8" w:rsidP="006630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3135D" w14:textId="77777777" w:rsidR="006440A8" w:rsidRDefault="006440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1D1BE" w14:textId="77777777" w:rsidR="006440A8" w:rsidRDefault="006440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4C23C" w14:textId="77777777" w:rsidR="006440A8" w:rsidRDefault="006440A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6169E" w14:textId="47BB6224" w:rsidR="006440A8" w:rsidRDefault="006440A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7CE75" w14:textId="77777777" w:rsidR="006440A8" w:rsidRDefault="006440A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7DF55" w14:textId="45A1F92A" w:rsidR="006440A8" w:rsidRPr="0066303F" w:rsidRDefault="006440A8" w:rsidP="0066303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1E1EA" w14:textId="77777777" w:rsidR="006440A8" w:rsidRDefault="006440A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999CF" w14:textId="3E01C490" w:rsidR="006440A8" w:rsidRPr="00D30F5F" w:rsidRDefault="006440A8" w:rsidP="00D30F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90A"/>
    <w:multiLevelType w:val="hybridMultilevel"/>
    <w:tmpl w:val="D1321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7C2BA7"/>
    <w:multiLevelType w:val="multilevel"/>
    <w:tmpl w:val="723E190C"/>
    <w:lvl w:ilvl="0">
      <w:start w:val="2"/>
      <w:numFmt w:val="decimal"/>
      <w:lvlText w:val="%1"/>
      <w:lvlJc w:val="left"/>
      <w:pPr>
        <w:ind w:left="3410"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69668DA"/>
    <w:multiLevelType w:val="multilevel"/>
    <w:tmpl w:val="93C68A5C"/>
    <w:lvl w:ilvl="0">
      <w:start w:val="2"/>
      <w:numFmt w:val="decimal"/>
      <w:pStyle w:val="Heading1"/>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9482F41"/>
    <w:multiLevelType w:val="hybridMultilevel"/>
    <w:tmpl w:val="7C404B2E"/>
    <w:lvl w:ilvl="0" w:tplc="B97411C2">
      <w:start w:val="1"/>
      <w:numFmt w:val="bullet"/>
      <w:pStyle w:val="ListBullet"/>
      <w:lvlText w:val=""/>
      <w:lvlJc w:val="left"/>
      <w:pPr>
        <w:tabs>
          <w:tab w:val="num" w:pos="425"/>
        </w:tabs>
        <w:ind w:left="425" w:hanging="425"/>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B711307"/>
    <w:multiLevelType w:val="hybridMultilevel"/>
    <w:tmpl w:val="EEF60BB2"/>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B9E5768"/>
    <w:multiLevelType w:val="hybridMultilevel"/>
    <w:tmpl w:val="EC6A22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443B72"/>
    <w:multiLevelType w:val="hybridMultilevel"/>
    <w:tmpl w:val="6E30B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263580"/>
    <w:multiLevelType w:val="multilevel"/>
    <w:tmpl w:val="44B6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12DE3"/>
    <w:multiLevelType w:val="hybridMultilevel"/>
    <w:tmpl w:val="0C20A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3221DB"/>
    <w:multiLevelType w:val="hybridMultilevel"/>
    <w:tmpl w:val="F8F44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F0768F"/>
    <w:multiLevelType w:val="hybridMultilevel"/>
    <w:tmpl w:val="5DC00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324C32"/>
    <w:multiLevelType w:val="hybridMultilevel"/>
    <w:tmpl w:val="B8D40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8A31A7"/>
    <w:multiLevelType w:val="hybridMultilevel"/>
    <w:tmpl w:val="0E2E6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CB2E74"/>
    <w:multiLevelType w:val="hybridMultilevel"/>
    <w:tmpl w:val="83B41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181875"/>
    <w:multiLevelType w:val="hybridMultilevel"/>
    <w:tmpl w:val="ECC4A174"/>
    <w:lvl w:ilvl="0" w:tplc="62F49A9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B90729"/>
    <w:multiLevelType w:val="hybridMultilevel"/>
    <w:tmpl w:val="D5524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301CE5"/>
    <w:multiLevelType w:val="hybridMultilevel"/>
    <w:tmpl w:val="8C041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5323A3"/>
    <w:multiLevelType w:val="hybridMultilevel"/>
    <w:tmpl w:val="9EC45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F70495C"/>
    <w:multiLevelType w:val="hybridMultilevel"/>
    <w:tmpl w:val="1B9EE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8947558"/>
    <w:multiLevelType w:val="hybridMultilevel"/>
    <w:tmpl w:val="0F36DB68"/>
    <w:lvl w:ilvl="0" w:tplc="4984CADA">
      <w:start w:val="1"/>
      <w:numFmt w:val="bullet"/>
      <w:pStyle w:val="ListBulletIndent"/>
      <w:lvlText w:val=""/>
      <w:lvlJc w:val="left"/>
      <w:pPr>
        <w:ind w:left="1145" w:hanging="360"/>
      </w:pPr>
      <w:rPr>
        <w:rFonts w:ascii="Wingdings" w:hAnsi="Wingdings" w:hint="default"/>
        <w:sz w:val="16"/>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0">
    <w:nsid w:val="5CDA682D"/>
    <w:multiLevelType w:val="hybridMultilevel"/>
    <w:tmpl w:val="92901F60"/>
    <w:lvl w:ilvl="0" w:tplc="F244DA7E">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C6AE9D84">
      <w:start w:val="1"/>
      <w:numFmt w:val="bullet"/>
      <w:lvlText w:val="−"/>
      <w:lvlJc w:val="left"/>
      <w:pPr>
        <w:ind w:left="2160" w:hanging="360"/>
      </w:pPr>
      <w:rPr>
        <w:rFonts w:ascii="Calibri" w:hAnsi="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2104BD5"/>
    <w:multiLevelType w:val="hybridMultilevel"/>
    <w:tmpl w:val="A1FE2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1B555A"/>
    <w:multiLevelType w:val="hybridMultilevel"/>
    <w:tmpl w:val="6AC8D8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C6AE9D84">
      <w:start w:val="1"/>
      <w:numFmt w:val="bullet"/>
      <w:lvlText w:val="−"/>
      <w:lvlJc w:val="left"/>
      <w:pPr>
        <w:ind w:left="2160" w:hanging="360"/>
      </w:pPr>
      <w:rPr>
        <w:rFonts w:ascii="Calibri" w:hAnsi="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5F606C"/>
    <w:multiLevelType w:val="hybridMultilevel"/>
    <w:tmpl w:val="91CCC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9564746"/>
    <w:multiLevelType w:val="hybridMultilevel"/>
    <w:tmpl w:val="F342A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BD50E22"/>
    <w:multiLevelType w:val="hybridMultilevel"/>
    <w:tmpl w:val="BC62B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CC63D4C"/>
    <w:multiLevelType w:val="hybridMultilevel"/>
    <w:tmpl w:val="A2CA8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D540FA3"/>
    <w:multiLevelType w:val="hybridMultilevel"/>
    <w:tmpl w:val="30ACB9C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8">
    <w:nsid w:val="6E324462"/>
    <w:multiLevelType w:val="hybridMultilevel"/>
    <w:tmpl w:val="5C467BE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9">
    <w:nsid w:val="6F555FAE"/>
    <w:multiLevelType w:val="hybridMultilevel"/>
    <w:tmpl w:val="C0F61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0DF7151"/>
    <w:multiLevelType w:val="hybridMultilevel"/>
    <w:tmpl w:val="359C17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12A34D5"/>
    <w:multiLevelType w:val="hybridMultilevel"/>
    <w:tmpl w:val="3962C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1AD574C"/>
    <w:multiLevelType w:val="hybridMultilevel"/>
    <w:tmpl w:val="8A2C5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24D3193"/>
    <w:multiLevelType w:val="hybridMultilevel"/>
    <w:tmpl w:val="1F8E0D0C"/>
    <w:lvl w:ilvl="0" w:tplc="D3A875E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9AF13F6"/>
    <w:multiLevelType w:val="hybridMultilevel"/>
    <w:tmpl w:val="F7203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EFD7848"/>
    <w:multiLevelType w:val="hybridMultilevel"/>
    <w:tmpl w:val="668C8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num>
  <w:num w:numId="6">
    <w:abstractNumId w:val="8"/>
  </w:num>
  <w:num w:numId="7">
    <w:abstractNumId w:val="23"/>
  </w:num>
  <w:num w:numId="8">
    <w:abstractNumId w:val="4"/>
  </w:num>
  <w:num w:numId="9">
    <w:abstractNumId w:val="0"/>
  </w:num>
  <w:num w:numId="10">
    <w:abstractNumId w:val="13"/>
  </w:num>
  <w:num w:numId="11">
    <w:abstractNumId w:val="32"/>
  </w:num>
  <w:num w:numId="12">
    <w:abstractNumId w:val="30"/>
  </w:num>
  <w:num w:numId="13">
    <w:abstractNumId w:val="33"/>
  </w:num>
  <w:num w:numId="14">
    <w:abstractNumId w:val="31"/>
  </w:num>
  <w:num w:numId="15">
    <w:abstractNumId w:val="5"/>
  </w:num>
  <w:num w:numId="16">
    <w:abstractNumId w:val="24"/>
  </w:num>
  <w:num w:numId="17">
    <w:abstractNumId w:val="18"/>
  </w:num>
  <w:num w:numId="18">
    <w:abstractNumId w:val="15"/>
  </w:num>
  <w:num w:numId="19">
    <w:abstractNumId w:val="34"/>
  </w:num>
  <w:num w:numId="20">
    <w:abstractNumId w:val="28"/>
  </w:num>
  <w:num w:numId="21">
    <w:abstractNumId w:val="12"/>
  </w:num>
  <w:num w:numId="22">
    <w:abstractNumId w:val="26"/>
  </w:num>
  <w:num w:numId="23">
    <w:abstractNumId w:val="7"/>
  </w:num>
  <w:num w:numId="24">
    <w:abstractNumId w:val="11"/>
  </w:num>
  <w:num w:numId="25">
    <w:abstractNumId w:val="17"/>
  </w:num>
  <w:num w:numId="26">
    <w:abstractNumId w:val="1"/>
  </w:num>
  <w:num w:numId="27">
    <w:abstractNumId w:val="10"/>
  </w:num>
  <w:num w:numId="28">
    <w:abstractNumId w:val="35"/>
  </w:num>
  <w:num w:numId="29">
    <w:abstractNumId w:val="9"/>
  </w:num>
  <w:num w:numId="30">
    <w:abstractNumId w:val="29"/>
  </w:num>
  <w:num w:numId="31">
    <w:abstractNumId w:val="27"/>
  </w:num>
  <w:num w:numId="32">
    <w:abstractNumId w:val="14"/>
  </w:num>
  <w:num w:numId="33">
    <w:abstractNumId w:val="6"/>
  </w:num>
  <w:num w:numId="34">
    <w:abstractNumId w:val="26"/>
  </w:num>
  <w:num w:numId="35">
    <w:abstractNumId w:val="25"/>
  </w:num>
  <w:num w:numId="36">
    <w:abstractNumId w:val="18"/>
  </w:num>
  <w:num w:numId="37">
    <w:abstractNumId w:val="32"/>
  </w:num>
  <w:num w:numId="38">
    <w:abstractNumId w:val="1"/>
  </w:num>
  <w:num w:numId="39">
    <w:abstractNumId w:val="1"/>
  </w:num>
  <w:num w:numId="40">
    <w:abstractNumId w:val="1"/>
  </w:num>
  <w:num w:numId="41">
    <w:abstractNumId w:val="1"/>
  </w:num>
  <w:num w:numId="42">
    <w:abstractNumId w:val="16"/>
  </w:num>
  <w:num w:numId="43">
    <w:abstractNumId w:val="22"/>
  </w:num>
  <w:num w:numId="4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28"/>
    <w:rsid w:val="000009BB"/>
    <w:rsid w:val="00003892"/>
    <w:rsid w:val="00007F71"/>
    <w:rsid w:val="00011CCA"/>
    <w:rsid w:val="00012B8E"/>
    <w:rsid w:val="0001530D"/>
    <w:rsid w:val="00015620"/>
    <w:rsid w:val="000214FF"/>
    <w:rsid w:val="00021A85"/>
    <w:rsid w:val="00024319"/>
    <w:rsid w:val="00027FAA"/>
    <w:rsid w:val="000322E4"/>
    <w:rsid w:val="000373F2"/>
    <w:rsid w:val="00041947"/>
    <w:rsid w:val="00043E0A"/>
    <w:rsid w:val="000464C0"/>
    <w:rsid w:val="0004686A"/>
    <w:rsid w:val="0004738A"/>
    <w:rsid w:val="000519C5"/>
    <w:rsid w:val="000537E8"/>
    <w:rsid w:val="00053C34"/>
    <w:rsid w:val="00053DE4"/>
    <w:rsid w:val="00053F34"/>
    <w:rsid w:val="00055E07"/>
    <w:rsid w:val="0005676A"/>
    <w:rsid w:val="00056F98"/>
    <w:rsid w:val="00057FBF"/>
    <w:rsid w:val="00060AD6"/>
    <w:rsid w:val="00060C32"/>
    <w:rsid w:val="00062EF7"/>
    <w:rsid w:val="000669F7"/>
    <w:rsid w:val="00072521"/>
    <w:rsid w:val="000727C2"/>
    <w:rsid w:val="00072C64"/>
    <w:rsid w:val="00072EB8"/>
    <w:rsid w:val="00073A6F"/>
    <w:rsid w:val="00076BA2"/>
    <w:rsid w:val="00076EEB"/>
    <w:rsid w:val="00077169"/>
    <w:rsid w:val="00077477"/>
    <w:rsid w:val="0008127E"/>
    <w:rsid w:val="00081459"/>
    <w:rsid w:val="000862D2"/>
    <w:rsid w:val="0009051D"/>
    <w:rsid w:val="00090E0C"/>
    <w:rsid w:val="000946CC"/>
    <w:rsid w:val="00096C8A"/>
    <w:rsid w:val="00096EF8"/>
    <w:rsid w:val="000976A6"/>
    <w:rsid w:val="000977B3"/>
    <w:rsid w:val="000A1DC1"/>
    <w:rsid w:val="000A7B8F"/>
    <w:rsid w:val="000B16A7"/>
    <w:rsid w:val="000B251D"/>
    <w:rsid w:val="000B280D"/>
    <w:rsid w:val="000B3ACF"/>
    <w:rsid w:val="000D11A7"/>
    <w:rsid w:val="000D2543"/>
    <w:rsid w:val="000D3412"/>
    <w:rsid w:val="000D3E76"/>
    <w:rsid w:val="000D4113"/>
    <w:rsid w:val="000E02E5"/>
    <w:rsid w:val="000E1450"/>
    <w:rsid w:val="000E3B1E"/>
    <w:rsid w:val="000E73D1"/>
    <w:rsid w:val="000E7553"/>
    <w:rsid w:val="000E7FC8"/>
    <w:rsid w:val="000F0B7C"/>
    <w:rsid w:val="000F20F0"/>
    <w:rsid w:val="000F773D"/>
    <w:rsid w:val="000F7803"/>
    <w:rsid w:val="00102421"/>
    <w:rsid w:val="00102472"/>
    <w:rsid w:val="001044AB"/>
    <w:rsid w:val="00105D26"/>
    <w:rsid w:val="00105D5E"/>
    <w:rsid w:val="00106837"/>
    <w:rsid w:val="001127BA"/>
    <w:rsid w:val="001128E0"/>
    <w:rsid w:val="001169C3"/>
    <w:rsid w:val="00117607"/>
    <w:rsid w:val="00120D9D"/>
    <w:rsid w:val="0012188B"/>
    <w:rsid w:val="001219AF"/>
    <w:rsid w:val="00121D81"/>
    <w:rsid w:val="00121F78"/>
    <w:rsid w:val="001255C6"/>
    <w:rsid w:val="0012725A"/>
    <w:rsid w:val="00127291"/>
    <w:rsid w:val="00132D60"/>
    <w:rsid w:val="00134401"/>
    <w:rsid w:val="0014140A"/>
    <w:rsid w:val="00142FC0"/>
    <w:rsid w:val="001458EF"/>
    <w:rsid w:val="00146CAA"/>
    <w:rsid w:val="00161427"/>
    <w:rsid w:val="001630C6"/>
    <w:rsid w:val="00163F69"/>
    <w:rsid w:val="00165C84"/>
    <w:rsid w:val="00165D80"/>
    <w:rsid w:val="00166DB3"/>
    <w:rsid w:val="00173FF4"/>
    <w:rsid w:val="0017449B"/>
    <w:rsid w:val="001749B3"/>
    <w:rsid w:val="00174DDF"/>
    <w:rsid w:val="00177BA2"/>
    <w:rsid w:val="00180322"/>
    <w:rsid w:val="0018115D"/>
    <w:rsid w:val="00181167"/>
    <w:rsid w:val="00182DC8"/>
    <w:rsid w:val="00182EF6"/>
    <w:rsid w:val="00183C96"/>
    <w:rsid w:val="00184692"/>
    <w:rsid w:val="00187682"/>
    <w:rsid w:val="00190F6F"/>
    <w:rsid w:val="00192D66"/>
    <w:rsid w:val="00195214"/>
    <w:rsid w:val="00196551"/>
    <w:rsid w:val="00197B86"/>
    <w:rsid w:val="001A228C"/>
    <w:rsid w:val="001A383F"/>
    <w:rsid w:val="001A4226"/>
    <w:rsid w:val="001A6778"/>
    <w:rsid w:val="001B2D2F"/>
    <w:rsid w:val="001B3D79"/>
    <w:rsid w:val="001B44C6"/>
    <w:rsid w:val="001B4B4D"/>
    <w:rsid w:val="001B7477"/>
    <w:rsid w:val="001C0E7B"/>
    <w:rsid w:val="001C1016"/>
    <w:rsid w:val="001C3671"/>
    <w:rsid w:val="001C6E68"/>
    <w:rsid w:val="001D5674"/>
    <w:rsid w:val="001D5965"/>
    <w:rsid w:val="001D7C43"/>
    <w:rsid w:val="001E0969"/>
    <w:rsid w:val="001E1F13"/>
    <w:rsid w:val="001E235D"/>
    <w:rsid w:val="001E3C98"/>
    <w:rsid w:val="001E73F2"/>
    <w:rsid w:val="001E78D9"/>
    <w:rsid w:val="001F380F"/>
    <w:rsid w:val="001F637F"/>
    <w:rsid w:val="002010A7"/>
    <w:rsid w:val="00201227"/>
    <w:rsid w:val="002016FB"/>
    <w:rsid w:val="00201B80"/>
    <w:rsid w:val="00204049"/>
    <w:rsid w:val="00204C30"/>
    <w:rsid w:val="00205483"/>
    <w:rsid w:val="00214396"/>
    <w:rsid w:val="002241FF"/>
    <w:rsid w:val="00224B9A"/>
    <w:rsid w:val="00225881"/>
    <w:rsid w:val="002301A9"/>
    <w:rsid w:val="00233103"/>
    <w:rsid w:val="002333A7"/>
    <w:rsid w:val="002414F3"/>
    <w:rsid w:val="00241E3B"/>
    <w:rsid w:val="00242587"/>
    <w:rsid w:val="00243A62"/>
    <w:rsid w:val="00244E54"/>
    <w:rsid w:val="00245EA7"/>
    <w:rsid w:val="0024797B"/>
    <w:rsid w:val="00247CCA"/>
    <w:rsid w:val="0025126D"/>
    <w:rsid w:val="00254FCE"/>
    <w:rsid w:val="00260316"/>
    <w:rsid w:val="00260E35"/>
    <w:rsid w:val="002619F9"/>
    <w:rsid w:val="00261C28"/>
    <w:rsid w:val="002649B3"/>
    <w:rsid w:val="00264ACD"/>
    <w:rsid w:val="00265CC9"/>
    <w:rsid w:val="0027063C"/>
    <w:rsid w:val="00270DB9"/>
    <w:rsid w:val="00271578"/>
    <w:rsid w:val="00271CF1"/>
    <w:rsid w:val="002721C1"/>
    <w:rsid w:val="00273C1D"/>
    <w:rsid w:val="002809E4"/>
    <w:rsid w:val="00280B3E"/>
    <w:rsid w:val="00283964"/>
    <w:rsid w:val="0028484F"/>
    <w:rsid w:val="00286F9A"/>
    <w:rsid w:val="00290158"/>
    <w:rsid w:val="0029197A"/>
    <w:rsid w:val="00294F90"/>
    <w:rsid w:val="00297109"/>
    <w:rsid w:val="002A03C0"/>
    <w:rsid w:val="002A1002"/>
    <w:rsid w:val="002A1275"/>
    <w:rsid w:val="002A1471"/>
    <w:rsid w:val="002A1490"/>
    <w:rsid w:val="002A2356"/>
    <w:rsid w:val="002A3F6A"/>
    <w:rsid w:val="002A5548"/>
    <w:rsid w:val="002A73CF"/>
    <w:rsid w:val="002B3885"/>
    <w:rsid w:val="002B3A46"/>
    <w:rsid w:val="002B6468"/>
    <w:rsid w:val="002C3D1E"/>
    <w:rsid w:val="002C3DC4"/>
    <w:rsid w:val="002D1171"/>
    <w:rsid w:val="002D1EF6"/>
    <w:rsid w:val="002E3EEF"/>
    <w:rsid w:val="002E44E5"/>
    <w:rsid w:val="002E4584"/>
    <w:rsid w:val="002E4F60"/>
    <w:rsid w:val="002E554A"/>
    <w:rsid w:val="002F37C0"/>
    <w:rsid w:val="002F4554"/>
    <w:rsid w:val="002F4A7E"/>
    <w:rsid w:val="002F641B"/>
    <w:rsid w:val="00303C34"/>
    <w:rsid w:val="00305CB3"/>
    <w:rsid w:val="00310AA6"/>
    <w:rsid w:val="0031228A"/>
    <w:rsid w:val="00313B6F"/>
    <w:rsid w:val="00314736"/>
    <w:rsid w:val="0031706A"/>
    <w:rsid w:val="003200AD"/>
    <w:rsid w:val="0032617D"/>
    <w:rsid w:val="00332AA1"/>
    <w:rsid w:val="00337ABB"/>
    <w:rsid w:val="00340749"/>
    <w:rsid w:val="00341C13"/>
    <w:rsid w:val="003425B6"/>
    <w:rsid w:val="003425EA"/>
    <w:rsid w:val="00345A25"/>
    <w:rsid w:val="00345E44"/>
    <w:rsid w:val="00353409"/>
    <w:rsid w:val="00353690"/>
    <w:rsid w:val="00354B97"/>
    <w:rsid w:val="00360827"/>
    <w:rsid w:val="0036335C"/>
    <w:rsid w:val="00364D36"/>
    <w:rsid w:val="00366C21"/>
    <w:rsid w:val="003670BD"/>
    <w:rsid w:val="0036753D"/>
    <w:rsid w:val="00370329"/>
    <w:rsid w:val="00373BD8"/>
    <w:rsid w:val="00374D2F"/>
    <w:rsid w:val="00375CEA"/>
    <w:rsid w:val="00376F75"/>
    <w:rsid w:val="00376FE5"/>
    <w:rsid w:val="0038113B"/>
    <w:rsid w:val="00384FBA"/>
    <w:rsid w:val="0038597B"/>
    <w:rsid w:val="003934CA"/>
    <w:rsid w:val="00393EBD"/>
    <w:rsid w:val="003946E8"/>
    <w:rsid w:val="00394B32"/>
    <w:rsid w:val="00396F18"/>
    <w:rsid w:val="003A2296"/>
    <w:rsid w:val="003A31F7"/>
    <w:rsid w:val="003A5023"/>
    <w:rsid w:val="003A51FD"/>
    <w:rsid w:val="003B11B1"/>
    <w:rsid w:val="003B3BDC"/>
    <w:rsid w:val="003B4CF8"/>
    <w:rsid w:val="003B7362"/>
    <w:rsid w:val="003B79B7"/>
    <w:rsid w:val="003C1CAA"/>
    <w:rsid w:val="003C2BDE"/>
    <w:rsid w:val="003C4447"/>
    <w:rsid w:val="003D5828"/>
    <w:rsid w:val="003D6B8C"/>
    <w:rsid w:val="003D751F"/>
    <w:rsid w:val="003E025C"/>
    <w:rsid w:val="003E1875"/>
    <w:rsid w:val="003E1C4D"/>
    <w:rsid w:val="003E3A05"/>
    <w:rsid w:val="003E48A3"/>
    <w:rsid w:val="003E4EF1"/>
    <w:rsid w:val="003E6907"/>
    <w:rsid w:val="003F00A3"/>
    <w:rsid w:val="003F1494"/>
    <w:rsid w:val="003F36B3"/>
    <w:rsid w:val="003F4943"/>
    <w:rsid w:val="003F65C9"/>
    <w:rsid w:val="00400B9C"/>
    <w:rsid w:val="004020C0"/>
    <w:rsid w:val="00403051"/>
    <w:rsid w:val="0040421A"/>
    <w:rsid w:val="0040434F"/>
    <w:rsid w:val="004053D1"/>
    <w:rsid w:val="00410312"/>
    <w:rsid w:val="0041234F"/>
    <w:rsid w:val="00412508"/>
    <w:rsid w:val="0041636F"/>
    <w:rsid w:val="0042009F"/>
    <w:rsid w:val="00422059"/>
    <w:rsid w:val="004300A1"/>
    <w:rsid w:val="0043453A"/>
    <w:rsid w:val="00435F0D"/>
    <w:rsid w:val="00437129"/>
    <w:rsid w:val="0043720D"/>
    <w:rsid w:val="004376B5"/>
    <w:rsid w:val="0043782A"/>
    <w:rsid w:val="00443208"/>
    <w:rsid w:val="00443362"/>
    <w:rsid w:val="004439BA"/>
    <w:rsid w:val="0044667D"/>
    <w:rsid w:val="00450065"/>
    <w:rsid w:val="00450E2F"/>
    <w:rsid w:val="00452ABF"/>
    <w:rsid w:val="00452C63"/>
    <w:rsid w:val="00452F5C"/>
    <w:rsid w:val="0045330A"/>
    <w:rsid w:val="00457076"/>
    <w:rsid w:val="004570D8"/>
    <w:rsid w:val="00457962"/>
    <w:rsid w:val="00457F4D"/>
    <w:rsid w:val="00462C6C"/>
    <w:rsid w:val="00462F37"/>
    <w:rsid w:val="00463E30"/>
    <w:rsid w:val="00464E2D"/>
    <w:rsid w:val="00464F7F"/>
    <w:rsid w:val="00467AB6"/>
    <w:rsid w:val="00471AC3"/>
    <w:rsid w:val="00471E34"/>
    <w:rsid w:val="00473C45"/>
    <w:rsid w:val="0047413D"/>
    <w:rsid w:val="00480CFA"/>
    <w:rsid w:val="00481F9C"/>
    <w:rsid w:val="00483DE6"/>
    <w:rsid w:val="004842BB"/>
    <w:rsid w:val="00487EF1"/>
    <w:rsid w:val="00487FBC"/>
    <w:rsid w:val="00490115"/>
    <w:rsid w:val="00493513"/>
    <w:rsid w:val="00493E8D"/>
    <w:rsid w:val="004942DA"/>
    <w:rsid w:val="004943F0"/>
    <w:rsid w:val="00494904"/>
    <w:rsid w:val="004A0723"/>
    <w:rsid w:val="004A12E6"/>
    <w:rsid w:val="004A1ACE"/>
    <w:rsid w:val="004A21F7"/>
    <w:rsid w:val="004B1F90"/>
    <w:rsid w:val="004B558A"/>
    <w:rsid w:val="004C0088"/>
    <w:rsid w:val="004C1B1D"/>
    <w:rsid w:val="004C3183"/>
    <w:rsid w:val="004D097A"/>
    <w:rsid w:val="004D2717"/>
    <w:rsid w:val="004D36E4"/>
    <w:rsid w:val="004D4CE8"/>
    <w:rsid w:val="004D4F62"/>
    <w:rsid w:val="004D787B"/>
    <w:rsid w:val="004D7E43"/>
    <w:rsid w:val="004E007A"/>
    <w:rsid w:val="004E08A9"/>
    <w:rsid w:val="004E1D20"/>
    <w:rsid w:val="004E3526"/>
    <w:rsid w:val="004F217B"/>
    <w:rsid w:val="004F4951"/>
    <w:rsid w:val="004F4A0E"/>
    <w:rsid w:val="004F79B3"/>
    <w:rsid w:val="005030AB"/>
    <w:rsid w:val="00504A09"/>
    <w:rsid w:val="00504A0D"/>
    <w:rsid w:val="00506964"/>
    <w:rsid w:val="00507516"/>
    <w:rsid w:val="00511A44"/>
    <w:rsid w:val="0051593F"/>
    <w:rsid w:val="00515D8F"/>
    <w:rsid w:val="00517658"/>
    <w:rsid w:val="00520BA4"/>
    <w:rsid w:val="00524207"/>
    <w:rsid w:val="00525613"/>
    <w:rsid w:val="005258E2"/>
    <w:rsid w:val="00526B58"/>
    <w:rsid w:val="00531D32"/>
    <w:rsid w:val="0053264E"/>
    <w:rsid w:val="00532794"/>
    <w:rsid w:val="00534EC3"/>
    <w:rsid w:val="00535249"/>
    <w:rsid w:val="00535DE0"/>
    <w:rsid w:val="005364E9"/>
    <w:rsid w:val="005367CA"/>
    <w:rsid w:val="005368A9"/>
    <w:rsid w:val="00540544"/>
    <w:rsid w:val="00543F08"/>
    <w:rsid w:val="005445CB"/>
    <w:rsid w:val="005472C4"/>
    <w:rsid w:val="00550877"/>
    <w:rsid w:val="0055594B"/>
    <w:rsid w:val="00555FE1"/>
    <w:rsid w:val="005577CA"/>
    <w:rsid w:val="005644C2"/>
    <w:rsid w:val="0056463B"/>
    <w:rsid w:val="00566C42"/>
    <w:rsid w:val="0057115C"/>
    <w:rsid w:val="00580EF2"/>
    <w:rsid w:val="005836E8"/>
    <w:rsid w:val="00583CA8"/>
    <w:rsid w:val="00584920"/>
    <w:rsid w:val="00586FBF"/>
    <w:rsid w:val="005903AA"/>
    <w:rsid w:val="00593E94"/>
    <w:rsid w:val="005944D4"/>
    <w:rsid w:val="005952B3"/>
    <w:rsid w:val="005A1037"/>
    <w:rsid w:val="005A4946"/>
    <w:rsid w:val="005A4C31"/>
    <w:rsid w:val="005B0529"/>
    <w:rsid w:val="005B2544"/>
    <w:rsid w:val="005B3493"/>
    <w:rsid w:val="005B480C"/>
    <w:rsid w:val="005B57C5"/>
    <w:rsid w:val="005B7049"/>
    <w:rsid w:val="005C50E8"/>
    <w:rsid w:val="005C686B"/>
    <w:rsid w:val="005C7450"/>
    <w:rsid w:val="005D3052"/>
    <w:rsid w:val="005D5DC2"/>
    <w:rsid w:val="005D65B7"/>
    <w:rsid w:val="005D77F7"/>
    <w:rsid w:val="005E152D"/>
    <w:rsid w:val="005E3273"/>
    <w:rsid w:val="005E46A2"/>
    <w:rsid w:val="005E60FE"/>
    <w:rsid w:val="005E7673"/>
    <w:rsid w:val="005F04C5"/>
    <w:rsid w:val="005F17A0"/>
    <w:rsid w:val="005F2DAF"/>
    <w:rsid w:val="005F5D20"/>
    <w:rsid w:val="005F69E2"/>
    <w:rsid w:val="005F7282"/>
    <w:rsid w:val="006044E6"/>
    <w:rsid w:val="0060455E"/>
    <w:rsid w:val="00604A05"/>
    <w:rsid w:val="006078C6"/>
    <w:rsid w:val="00607B29"/>
    <w:rsid w:val="00607D26"/>
    <w:rsid w:val="006135F7"/>
    <w:rsid w:val="00622692"/>
    <w:rsid w:val="00623548"/>
    <w:rsid w:val="00623F34"/>
    <w:rsid w:val="00624D8D"/>
    <w:rsid w:val="00625CBC"/>
    <w:rsid w:val="006260A6"/>
    <w:rsid w:val="00632363"/>
    <w:rsid w:val="00640864"/>
    <w:rsid w:val="006437E1"/>
    <w:rsid w:val="006440A8"/>
    <w:rsid w:val="006462C6"/>
    <w:rsid w:val="00647846"/>
    <w:rsid w:val="00652A97"/>
    <w:rsid w:val="0065395F"/>
    <w:rsid w:val="00653FC9"/>
    <w:rsid w:val="00655909"/>
    <w:rsid w:val="0065704E"/>
    <w:rsid w:val="006613CC"/>
    <w:rsid w:val="0066303F"/>
    <w:rsid w:val="00663961"/>
    <w:rsid w:val="0066499D"/>
    <w:rsid w:val="00664D31"/>
    <w:rsid w:val="00665E8F"/>
    <w:rsid w:val="00666F87"/>
    <w:rsid w:val="006677E1"/>
    <w:rsid w:val="00667EDE"/>
    <w:rsid w:val="00670A46"/>
    <w:rsid w:val="006714DF"/>
    <w:rsid w:val="00675EF7"/>
    <w:rsid w:val="00676D5B"/>
    <w:rsid w:val="0067737F"/>
    <w:rsid w:val="0068101A"/>
    <w:rsid w:val="00682717"/>
    <w:rsid w:val="00683E51"/>
    <w:rsid w:val="00684DAF"/>
    <w:rsid w:val="006851C9"/>
    <w:rsid w:val="006912F5"/>
    <w:rsid w:val="0069296B"/>
    <w:rsid w:val="006932D6"/>
    <w:rsid w:val="006947E2"/>
    <w:rsid w:val="006A3D1C"/>
    <w:rsid w:val="006A64F4"/>
    <w:rsid w:val="006B3DFF"/>
    <w:rsid w:val="006B4355"/>
    <w:rsid w:val="006B742F"/>
    <w:rsid w:val="006B793C"/>
    <w:rsid w:val="006C2FF6"/>
    <w:rsid w:val="006C5145"/>
    <w:rsid w:val="006C6537"/>
    <w:rsid w:val="006D0571"/>
    <w:rsid w:val="006D182D"/>
    <w:rsid w:val="006D6FE5"/>
    <w:rsid w:val="006D75EA"/>
    <w:rsid w:val="006E2188"/>
    <w:rsid w:val="006E2DCB"/>
    <w:rsid w:val="006E3E2C"/>
    <w:rsid w:val="006E4513"/>
    <w:rsid w:val="006E527E"/>
    <w:rsid w:val="006E6825"/>
    <w:rsid w:val="006F1C77"/>
    <w:rsid w:val="006F66EF"/>
    <w:rsid w:val="007012CC"/>
    <w:rsid w:val="00704069"/>
    <w:rsid w:val="00704A1A"/>
    <w:rsid w:val="00704C49"/>
    <w:rsid w:val="007054C4"/>
    <w:rsid w:val="00706355"/>
    <w:rsid w:val="00707BED"/>
    <w:rsid w:val="00715723"/>
    <w:rsid w:val="007159B2"/>
    <w:rsid w:val="00716C19"/>
    <w:rsid w:val="0072217C"/>
    <w:rsid w:val="0072368A"/>
    <w:rsid w:val="007255D8"/>
    <w:rsid w:val="00725B43"/>
    <w:rsid w:val="007263AC"/>
    <w:rsid w:val="007276E8"/>
    <w:rsid w:val="00732160"/>
    <w:rsid w:val="00732A55"/>
    <w:rsid w:val="00732D6E"/>
    <w:rsid w:val="00732DE7"/>
    <w:rsid w:val="00736EA7"/>
    <w:rsid w:val="00742CAB"/>
    <w:rsid w:val="00743984"/>
    <w:rsid w:val="00745F6E"/>
    <w:rsid w:val="00746449"/>
    <w:rsid w:val="00746796"/>
    <w:rsid w:val="00751F2E"/>
    <w:rsid w:val="00752FD4"/>
    <w:rsid w:val="00754C86"/>
    <w:rsid w:val="007559BC"/>
    <w:rsid w:val="00755B1A"/>
    <w:rsid w:val="007601E6"/>
    <w:rsid w:val="007609AE"/>
    <w:rsid w:val="00761E0A"/>
    <w:rsid w:val="007624F3"/>
    <w:rsid w:val="00762D10"/>
    <w:rsid w:val="007645DB"/>
    <w:rsid w:val="00766F71"/>
    <w:rsid w:val="0077513D"/>
    <w:rsid w:val="00776774"/>
    <w:rsid w:val="007775D4"/>
    <w:rsid w:val="007814E2"/>
    <w:rsid w:val="00783DCE"/>
    <w:rsid w:val="0078413C"/>
    <w:rsid w:val="00786109"/>
    <w:rsid w:val="0079039E"/>
    <w:rsid w:val="00790BEB"/>
    <w:rsid w:val="00792508"/>
    <w:rsid w:val="007948D1"/>
    <w:rsid w:val="00794E51"/>
    <w:rsid w:val="00795753"/>
    <w:rsid w:val="00795D16"/>
    <w:rsid w:val="007961D2"/>
    <w:rsid w:val="00796211"/>
    <w:rsid w:val="00796FDF"/>
    <w:rsid w:val="00797813"/>
    <w:rsid w:val="007A0D86"/>
    <w:rsid w:val="007A5A73"/>
    <w:rsid w:val="007A5D95"/>
    <w:rsid w:val="007A6855"/>
    <w:rsid w:val="007B2D1F"/>
    <w:rsid w:val="007B32BC"/>
    <w:rsid w:val="007B3A1F"/>
    <w:rsid w:val="007B3D05"/>
    <w:rsid w:val="007B63D7"/>
    <w:rsid w:val="007C00BC"/>
    <w:rsid w:val="007C2D44"/>
    <w:rsid w:val="007C40FC"/>
    <w:rsid w:val="007C4DC1"/>
    <w:rsid w:val="007D0808"/>
    <w:rsid w:val="007D5907"/>
    <w:rsid w:val="007D7BDA"/>
    <w:rsid w:val="007E0CB1"/>
    <w:rsid w:val="007F090D"/>
    <w:rsid w:val="007F1500"/>
    <w:rsid w:val="007F1F8B"/>
    <w:rsid w:val="007F447B"/>
    <w:rsid w:val="007F6C42"/>
    <w:rsid w:val="00803872"/>
    <w:rsid w:val="00803A44"/>
    <w:rsid w:val="008046F9"/>
    <w:rsid w:val="00806571"/>
    <w:rsid w:val="00806C64"/>
    <w:rsid w:val="00807525"/>
    <w:rsid w:val="00813160"/>
    <w:rsid w:val="00820164"/>
    <w:rsid w:val="0082151C"/>
    <w:rsid w:val="00824E04"/>
    <w:rsid w:val="008261F0"/>
    <w:rsid w:val="008327AB"/>
    <w:rsid w:val="00833260"/>
    <w:rsid w:val="00835258"/>
    <w:rsid w:val="008354B2"/>
    <w:rsid w:val="0083584E"/>
    <w:rsid w:val="00837921"/>
    <w:rsid w:val="0084018C"/>
    <w:rsid w:val="00841DBF"/>
    <w:rsid w:val="008429E0"/>
    <w:rsid w:val="00844181"/>
    <w:rsid w:val="0084524C"/>
    <w:rsid w:val="00845B87"/>
    <w:rsid w:val="00847165"/>
    <w:rsid w:val="008479E7"/>
    <w:rsid w:val="008504D0"/>
    <w:rsid w:val="00850EFC"/>
    <w:rsid w:val="00852643"/>
    <w:rsid w:val="00854287"/>
    <w:rsid w:val="00854722"/>
    <w:rsid w:val="00855B7C"/>
    <w:rsid w:val="00856CA5"/>
    <w:rsid w:val="00863353"/>
    <w:rsid w:val="008668DD"/>
    <w:rsid w:val="0087186C"/>
    <w:rsid w:val="00871D2D"/>
    <w:rsid w:val="008737C8"/>
    <w:rsid w:val="008737D7"/>
    <w:rsid w:val="00876941"/>
    <w:rsid w:val="00880991"/>
    <w:rsid w:val="00881535"/>
    <w:rsid w:val="00882A18"/>
    <w:rsid w:val="00882CD5"/>
    <w:rsid w:val="008835B7"/>
    <w:rsid w:val="00886A99"/>
    <w:rsid w:val="0089339F"/>
    <w:rsid w:val="00896775"/>
    <w:rsid w:val="008A294F"/>
    <w:rsid w:val="008A3E96"/>
    <w:rsid w:val="008A618C"/>
    <w:rsid w:val="008B10B9"/>
    <w:rsid w:val="008B2A4B"/>
    <w:rsid w:val="008B48CF"/>
    <w:rsid w:val="008B63D1"/>
    <w:rsid w:val="008B6868"/>
    <w:rsid w:val="008B6D86"/>
    <w:rsid w:val="008C16D6"/>
    <w:rsid w:val="008C4840"/>
    <w:rsid w:val="008C5706"/>
    <w:rsid w:val="008C686D"/>
    <w:rsid w:val="008D24C2"/>
    <w:rsid w:val="008D4A3E"/>
    <w:rsid w:val="008D4EB1"/>
    <w:rsid w:val="008D6F51"/>
    <w:rsid w:val="008D7079"/>
    <w:rsid w:val="008E52C7"/>
    <w:rsid w:val="008F0687"/>
    <w:rsid w:val="008F0F6D"/>
    <w:rsid w:val="008F5B43"/>
    <w:rsid w:val="00903C85"/>
    <w:rsid w:val="00903E6E"/>
    <w:rsid w:val="00905552"/>
    <w:rsid w:val="00911B5C"/>
    <w:rsid w:val="00912A10"/>
    <w:rsid w:val="00912D59"/>
    <w:rsid w:val="00914925"/>
    <w:rsid w:val="00917A55"/>
    <w:rsid w:val="009212AA"/>
    <w:rsid w:val="00921C84"/>
    <w:rsid w:val="00927165"/>
    <w:rsid w:val="00927F88"/>
    <w:rsid w:val="00931A4A"/>
    <w:rsid w:val="009321BC"/>
    <w:rsid w:val="00932F47"/>
    <w:rsid w:val="00935272"/>
    <w:rsid w:val="009352C2"/>
    <w:rsid w:val="00936ABC"/>
    <w:rsid w:val="00937068"/>
    <w:rsid w:val="0094455D"/>
    <w:rsid w:val="00950465"/>
    <w:rsid w:val="009540CC"/>
    <w:rsid w:val="009567B5"/>
    <w:rsid w:val="0096272F"/>
    <w:rsid w:val="0096764A"/>
    <w:rsid w:val="00971BA2"/>
    <w:rsid w:val="00973438"/>
    <w:rsid w:val="00973F3E"/>
    <w:rsid w:val="00974F12"/>
    <w:rsid w:val="00975752"/>
    <w:rsid w:val="0098265E"/>
    <w:rsid w:val="0098305B"/>
    <w:rsid w:val="00984B27"/>
    <w:rsid w:val="00986981"/>
    <w:rsid w:val="009879AA"/>
    <w:rsid w:val="009927C2"/>
    <w:rsid w:val="009932CF"/>
    <w:rsid w:val="009934DA"/>
    <w:rsid w:val="00993B68"/>
    <w:rsid w:val="00993DC9"/>
    <w:rsid w:val="00993F73"/>
    <w:rsid w:val="00995AF6"/>
    <w:rsid w:val="0099714C"/>
    <w:rsid w:val="00997AAE"/>
    <w:rsid w:val="00997DFA"/>
    <w:rsid w:val="009A7BDB"/>
    <w:rsid w:val="009B6719"/>
    <w:rsid w:val="009B6B6C"/>
    <w:rsid w:val="009B7063"/>
    <w:rsid w:val="009C036D"/>
    <w:rsid w:val="009C0816"/>
    <w:rsid w:val="009C0EC5"/>
    <w:rsid w:val="009C1EE9"/>
    <w:rsid w:val="009C3188"/>
    <w:rsid w:val="009C3D75"/>
    <w:rsid w:val="009C4A43"/>
    <w:rsid w:val="009C6BF9"/>
    <w:rsid w:val="009D0227"/>
    <w:rsid w:val="009D2019"/>
    <w:rsid w:val="009D2761"/>
    <w:rsid w:val="009D6A68"/>
    <w:rsid w:val="009D6E4E"/>
    <w:rsid w:val="009D71B7"/>
    <w:rsid w:val="009E0D02"/>
    <w:rsid w:val="009E18CE"/>
    <w:rsid w:val="009E26DE"/>
    <w:rsid w:val="009E4AF9"/>
    <w:rsid w:val="009E5C86"/>
    <w:rsid w:val="009E70FF"/>
    <w:rsid w:val="009E73FF"/>
    <w:rsid w:val="009F1C90"/>
    <w:rsid w:val="009F4479"/>
    <w:rsid w:val="009F45CA"/>
    <w:rsid w:val="00A0009F"/>
    <w:rsid w:val="00A00942"/>
    <w:rsid w:val="00A00B51"/>
    <w:rsid w:val="00A00D49"/>
    <w:rsid w:val="00A00F9C"/>
    <w:rsid w:val="00A027AE"/>
    <w:rsid w:val="00A03533"/>
    <w:rsid w:val="00A04367"/>
    <w:rsid w:val="00A06AA5"/>
    <w:rsid w:val="00A0758D"/>
    <w:rsid w:val="00A07C28"/>
    <w:rsid w:val="00A07E54"/>
    <w:rsid w:val="00A107BA"/>
    <w:rsid w:val="00A1194E"/>
    <w:rsid w:val="00A125AB"/>
    <w:rsid w:val="00A12847"/>
    <w:rsid w:val="00A13142"/>
    <w:rsid w:val="00A145D0"/>
    <w:rsid w:val="00A1787F"/>
    <w:rsid w:val="00A2110E"/>
    <w:rsid w:val="00A22E80"/>
    <w:rsid w:val="00A24EAA"/>
    <w:rsid w:val="00A26311"/>
    <w:rsid w:val="00A27A2B"/>
    <w:rsid w:val="00A32A97"/>
    <w:rsid w:val="00A34C2C"/>
    <w:rsid w:val="00A35435"/>
    <w:rsid w:val="00A37A19"/>
    <w:rsid w:val="00A40FFA"/>
    <w:rsid w:val="00A43F06"/>
    <w:rsid w:val="00A45668"/>
    <w:rsid w:val="00A45ACB"/>
    <w:rsid w:val="00A47538"/>
    <w:rsid w:val="00A526D2"/>
    <w:rsid w:val="00A52C0D"/>
    <w:rsid w:val="00A5474B"/>
    <w:rsid w:val="00A63C7B"/>
    <w:rsid w:val="00A63FC2"/>
    <w:rsid w:val="00A72F76"/>
    <w:rsid w:val="00A74E29"/>
    <w:rsid w:val="00A75413"/>
    <w:rsid w:val="00A7643B"/>
    <w:rsid w:val="00A77C18"/>
    <w:rsid w:val="00A77C41"/>
    <w:rsid w:val="00A83170"/>
    <w:rsid w:val="00A85320"/>
    <w:rsid w:val="00A85734"/>
    <w:rsid w:val="00A857EC"/>
    <w:rsid w:val="00A86CFE"/>
    <w:rsid w:val="00A86EAC"/>
    <w:rsid w:val="00A9121E"/>
    <w:rsid w:val="00A914EB"/>
    <w:rsid w:val="00A937B7"/>
    <w:rsid w:val="00A940CB"/>
    <w:rsid w:val="00A9681E"/>
    <w:rsid w:val="00A972B5"/>
    <w:rsid w:val="00A97604"/>
    <w:rsid w:val="00AA0825"/>
    <w:rsid w:val="00AA195E"/>
    <w:rsid w:val="00AA1EBB"/>
    <w:rsid w:val="00AA48B1"/>
    <w:rsid w:val="00AB11CC"/>
    <w:rsid w:val="00AB1A31"/>
    <w:rsid w:val="00AB5A86"/>
    <w:rsid w:val="00AB5C0B"/>
    <w:rsid w:val="00AC08A1"/>
    <w:rsid w:val="00AC312E"/>
    <w:rsid w:val="00AD5D6D"/>
    <w:rsid w:val="00AD75F7"/>
    <w:rsid w:val="00AE0FF3"/>
    <w:rsid w:val="00AE1B0C"/>
    <w:rsid w:val="00AE3739"/>
    <w:rsid w:val="00AE4A7E"/>
    <w:rsid w:val="00AE64D3"/>
    <w:rsid w:val="00AE6B8E"/>
    <w:rsid w:val="00AE7DE1"/>
    <w:rsid w:val="00AF2399"/>
    <w:rsid w:val="00AF3824"/>
    <w:rsid w:val="00AF4819"/>
    <w:rsid w:val="00B00DBB"/>
    <w:rsid w:val="00B023BC"/>
    <w:rsid w:val="00B025A9"/>
    <w:rsid w:val="00B12E37"/>
    <w:rsid w:val="00B161FB"/>
    <w:rsid w:val="00B16E8B"/>
    <w:rsid w:val="00B20D14"/>
    <w:rsid w:val="00B21269"/>
    <w:rsid w:val="00B21E3B"/>
    <w:rsid w:val="00B23327"/>
    <w:rsid w:val="00B23777"/>
    <w:rsid w:val="00B2470A"/>
    <w:rsid w:val="00B26283"/>
    <w:rsid w:val="00B30338"/>
    <w:rsid w:val="00B30861"/>
    <w:rsid w:val="00B30B8D"/>
    <w:rsid w:val="00B30DAC"/>
    <w:rsid w:val="00B35A74"/>
    <w:rsid w:val="00B35FED"/>
    <w:rsid w:val="00B423C2"/>
    <w:rsid w:val="00B429CE"/>
    <w:rsid w:val="00B43E6D"/>
    <w:rsid w:val="00B448A5"/>
    <w:rsid w:val="00B44B12"/>
    <w:rsid w:val="00B52E54"/>
    <w:rsid w:val="00B541C0"/>
    <w:rsid w:val="00B54431"/>
    <w:rsid w:val="00B55E69"/>
    <w:rsid w:val="00B601B2"/>
    <w:rsid w:val="00B66161"/>
    <w:rsid w:val="00B70D36"/>
    <w:rsid w:val="00B724FA"/>
    <w:rsid w:val="00B730BB"/>
    <w:rsid w:val="00B75E3F"/>
    <w:rsid w:val="00B7745F"/>
    <w:rsid w:val="00B80C92"/>
    <w:rsid w:val="00B90406"/>
    <w:rsid w:val="00B90FE1"/>
    <w:rsid w:val="00B92B1B"/>
    <w:rsid w:val="00B93854"/>
    <w:rsid w:val="00B97C07"/>
    <w:rsid w:val="00BB103E"/>
    <w:rsid w:val="00BB300D"/>
    <w:rsid w:val="00BB76A8"/>
    <w:rsid w:val="00BC3D09"/>
    <w:rsid w:val="00BC446D"/>
    <w:rsid w:val="00BC57D8"/>
    <w:rsid w:val="00BC5DB6"/>
    <w:rsid w:val="00BC75B7"/>
    <w:rsid w:val="00BD292E"/>
    <w:rsid w:val="00BD49CB"/>
    <w:rsid w:val="00BD6DFB"/>
    <w:rsid w:val="00BE0FBD"/>
    <w:rsid w:val="00BE2618"/>
    <w:rsid w:val="00BE28EB"/>
    <w:rsid w:val="00BE3060"/>
    <w:rsid w:val="00BE37AB"/>
    <w:rsid w:val="00BE4161"/>
    <w:rsid w:val="00BE4ABE"/>
    <w:rsid w:val="00BE5362"/>
    <w:rsid w:val="00BE68D9"/>
    <w:rsid w:val="00BF1665"/>
    <w:rsid w:val="00BF1900"/>
    <w:rsid w:val="00C01911"/>
    <w:rsid w:val="00C054CF"/>
    <w:rsid w:val="00C10520"/>
    <w:rsid w:val="00C1495C"/>
    <w:rsid w:val="00C15B70"/>
    <w:rsid w:val="00C165B7"/>
    <w:rsid w:val="00C16BC6"/>
    <w:rsid w:val="00C17D80"/>
    <w:rsid w:val="00C2118F"/>
    <w:rsid w:val="00C2131D"/>
    <w:rsid w:val="00C21782"/>
    <w:rsid w:val="00C22C7F"/>
    <w:rsid w:val="00C23FA6"/>
    <w:rsid w:val="00C247AD"/>
    <w:rsid w:val="00C25602"/>
    <w:rsid w:val="00C257AB"/>
    <w:rsid w:val="00C26E9C"/>
    <w:rsid w:val="00C31F1C"/>
    <w:rsid w:val="00C3218E"/>
    <w:rsid w:val="00C379C1"/>
    <w:rsid w:val="00C41D1B"/>
    <w:rsid w:val="00C42973"/>
    <w:rsid w:val="00C500D2"/>
    <w:rsid w:val="00C55D84"/>
    <w:rsid w:val="00C57746"/>
    <w:rsid w:val="00C6008A"/>
    <w:rsid w:val="00C65CF4"/>
    <w:rsid w:val="00C66E91"/>
    <w:rsid w:val="00C70303"/>
    <w:rsid w:val="00C71A5D"/>
    <w:rsid w:val="00C72DD0"/>
    <w:rsid w:val="00C76028"/>
    <w:rsid w:val="00C8185E"/>
    <w:rsid w:val="00C82AE3"/>
    <w:rsid w:val="00C82DB5"/>
    <w:rsid w:val="00C92285"/>
    <w:rsid w:val="00C9653A"/>
    <w:rsid w:val="00CA038D"/>
    <w:rsid w:val="00CA0D0C"/>
    <w:rsid w:val="00CA11CA"/>
    <w:rsid w:val="00CA194C"/>
    <w:rsid w:val="00CA42F2"/>
    <w:rsid w:val="00CA4920"/>
    <w:rsid w:val="00CA4F9D"/>
    <w:rsid w:val="00CA7656"/>
    <w:rsid w:val="00CB0E75"/>
    <w:rsid w:val="00CB1233"/>
    <w:rsid w:val="00CB1981"/>
    <w:rsid w:val="00CB1B90"/>
    <w:rsid w:val="00CB1D66"/>
    <w:rsid w:val="00CB492A"/>
    <w:rsid w:val="00CB4B67"/>
    <w:rsid w:val="00CB7456"/>
    <w:rsid w:val="00CC0C02"/>
    <w:rsid w:val="00CC3B81"/>
    <w:rsid w:val="00CC79DA"/>
    <w:rsid w:val="00CD142D"/>
    <w:rsid w:val="00CD2CC8"/>
    <w:rsid w:val="00CD3035"/>
    <w:rsid w:val="00CD4094"/>
    <w:rsid w:val="00CE1416"/>
    <w:rsid w:val="00CE21D5"/>
    <w:rsid w:val="00CE74AE"/>
    <w:rsid w:val="00CF2373"/>
    <w:rsid w:val="00CF4BB9"/>
    <w:rsid w:val="00CF5707"/>
    <w:rsid w:val="00CF64BA"/>
    <w:rsid w:val="00D04B40"/>
    <w:rsid w:val="00D04C4B"/>
    <w:rsid w:val="00D07E1E"/>
    <w:rsid w:val="00D10626"/>
    <w:rsid w:val="00D13D8F"/>
    <w:rsid w:val="00D15231"/>
    <w:rsid w:val="00D1590E"/>
    <w:rsid w:val="00D17B16"/>
    <w:rsid w:val="00D21233"/>
    <w:rsid w:val="00D216CA"/>
    <w:rsid w:val="00D21BF8"/>
    <w:rsid w:val="00D21E5C"/>
    <w:rsid w:val="00D221A2"/>
    <w:rsid w:val="00D22AF1"/>
    <w:rsid w:val="00D24F6D"/>
    <w:rsid w:val="00D251B0"/>
    <w:rsid w:val="00D2567D"/>
    <w:rsid w:val="00D260E6"/>
    <w:rsid w:val="00D26E6E"/>
    <w:rsid w:val="00D273C3"/>
    <w:rsid w:val="00D30F5F"/>
    <w:rsid w:val="00D3503A"/>
    <w:rsid w:val="00D3641B"/>
    <w:rsid w:val="00D36490"/>
    <w:rsid w:val="00D3670C"/>
    <w:rsid w:val="00D40A6C"/>
    <w:rsid w:val="00D476CD"/>
    <w:rsid w:val="00D47A7C"/>
    <w:rsid w:val="00D541E9"/>
    <w:rsid w:val="00D577C2"/>
    <w:rsid w:val="00D6380F"/>
    <w:rsid w:val="00D65A63"/>
    <w:rsid w:val="00D70363"/>
    <w:rsid w:val="00D71498"/>
    <w:rsid w:val="00D722B1"/>
    <w:rsid w:val="00D76AD0"/>
    <w:rsid w:val="00D805C0"/>
    <w:rsid w:val="00D80F4F"/>
    <w:rsid w:val="00D84AC8"/>
    <w:rsid w:val="00D8557B"/>
    <w:rsid w:val="00D90943"/>
    <w:rsid w:val="00D91258"/>
    <w:rsid w:val="00D9159A"/>
    <w:rsid w:val="00D92393"/>
    <w:rsid w:val="00D93124"/>
    <w:rsid w:val="00D932AF"/>
    <w:rsid w:val="00D96869"/>
    <w:rsid w:val="00DA2281"/>
    <w:rsid w:val="00DA376F"/>
    <w:rsid w:val="00DA5BB1"/>
    <w:rsid w:val="00DA6672"/>
    <w:rsid w:val="00DB21DC"/>
    <w:rsid w:val="00DB2386"/>
    <w:rsid w:val="00DB4130"/>
    <w:rsid w:val="00DB4BB4"/>
    <w:rsid w:val="00DB4DF0"/>
    <w:rsid w:val="00DB5A01"/>
    <w:rsid w:val="00DB74E9"/>
    <w:rsid w:val="00DC3819"/>
    <w:rsid w:val="00DC422D"/>
    <w:rsid w:val="00DC47E6"/>
    <w:rsid w:val="00DC59B1"/>
    <w:rsid w:val="00DC766F"/>
    <w:rsid w:val="00DD433F"/>
    <w:rsid w:val="00DD4D74"/>
    <w:rsid w:val="00DD539F"/>
    <w:rsid w:val="00DD5D97"/>
    <w:rsid w:val="00DD66DD"/>
    <w:rsid w:val="00DD7E3E"/>
    <w:rsid w:val="00DE0987"/>
    <w:rsid w:val="00DE0BB8"/>
    <w:rsid w:val="00DE4503"/>
    <w:rsid w:val="00DE4705"/>
    <w:rsid w:val="00DE6A24"/>
    <w:rsid w:val="00DF01A6"/>
    <w:rsid w:val="00DF3BD4"/>
    <w:rsid w:val="00E03409"/>
    <w:rsid w:val="00E05AF6"/>
    <w:rsid w:val="00E133C4"/>
    <w:rsid w:val="00E14BD2"/>
    <w:rsid w:val="00E160FF"/>
    <w:rsid w:val="00E17F6D"/>
    <w:rsid w:val="00E203E2"/>
    <w:rsid w:val="00E22D71"/>
    <w:rsid w:val="00E314AA"/>
    <w:rsid w:val="00E33A75"/>
    <w:rsid w:val="00E33ED7"/>
    <w:rsid w:val="00E357DD"/>
    <w:rsid w:val="00E36846"/>
    <w:rsid w:val="00E4211D"/>
    <w:rsid w:val="00E4515B"/>
    <w:rsid w:val="00E462A7"/>
    <w:rsid w:val="00E46373"/>
    <w:rsid w:val="00E46E00"/>
    <w:rsid w:val="00E62B18"/>
    <w:rsid w:val="00E63573"/>
    <w:rsid w:val="00E6375F"/>
    <w:rsid w:val="00E643DE"/>
    <w:rsid w:val="00E64761"/>
    <w:rsid w:val="00E64FB1"/>
    <w:rsid w:val="00E7219A"/>
    <w:rsid w:val="00E75501"/>
    <w:rsid w:val="00E8076D"/>
    <w:rsid w:val="00E82DC0"/>
    <w:rsid w:val="00E836F2"/>
    <w:rsid w:val="00E839D9"/>
    <w:rsid w:val="00E85B9E"/>
    <w:rsid w:val="00E92B95"/>
    <w:rsid w:val="00E932C0"/>
    <w:rsid w:val="00E93DD0"/>
    <w:rsid w:val="00E95C64"/>
    <w:rsid w:val="00EA0B40"/>
    <w:rsid w:val="00EA0F19"/>
    <w:rsid w:val="00EA79BE"/>
    <w:rsid w:val="00EB28B3"/>
    <w:rsid w:val="00EB3153"/>
    <w:rsid w:val="00EB3FB3"/>
    <w:rsid w:val="00EB55EB"/>
    <w:rsid w:val="00EC1CF4"/>
    <w:rsid w:val="00EC23B7"/>
    <w:rsid w:val="00EC2B66"/>
    <w:rsid w:val="00EC2CC7"/>
    <w:rsid w:val="00EC55E2"/>
    <w:rsid w:val="00EC691D"/>
    <w:rsid w:val="00EC7F0E"/>
    <w:rsid w:val="00ED70C3"/>
    <w:rsid w:val="00EE1B69"/>
    <w:rsid w:val="00EE203A"/>
    <w:rsid w:val="00EE21BF"/>
    <w:rsid w:val="00EE38C1"/>
    <w:rsid w:val="00EE53F1"/>
    <w:rsid w:val="00EE6038"/>
    <w:rsid w:val="00EE68E7"/>
    <w:rsid w:val="00EE7A67"/>
    <w:rsid w:val="00EF0968"/>
    <w:rsid w:val="00EF23BA"/>
    <w:rsid w:val="00EF599F"/>
    <w:rsid w:val="00F04BF4"/>
    <w:rsid w:val="00F0624B"/>
    <w:rsid w:val="00F11523"/>
    <w:rsid w:val="00F11EDA"/>
    <w:rsid w:val="00F13B42"/>
    <w:rsid w:val="00F13D8A"/>
    <w:rsid w:val="00F14388"/>
    <w:rsid w:val="00F15391"/>
    <w:rsid w:val="00F1618B"/>
    <w:rsid w:val="00F17E7D"/>
    <w:rsid w:val="00F2273B"/>
    <w:rsid w:val="00F25A0B"/>
    <w:rsid w:val="00F25EA2"/>
    <w:rsid w:val="00F2640A"/>
    <w:rsid w:val="00F30136"/>
    <w:rsid w:val="00F3377F"/>
    <w:rsid w:val="00F42B7D"/>
    <w:rsid w:val="00F42BA2"/>
    <w:rsid w:val="00F44FED"/>
    <w:rsid w:val="00F45DC1"/>
    <w:rsid w:val="00F45E3D"/>
    <w:rsid w:val="00F501B4"/>
    <w:rsid w:val="00F50741"/>
    <w:rsid w:val="00F51137"/>
    <w:rsid w:val="00F52FBB"/>
    <w:rsid w:val="00F5323C"/>
    <w:rsid w:val="00F57393"/>
    <w:rsid w:val="00F645A2"/>
    <w:rsid w:val="00F64DC3"/>
    <w:rsid w:val="00F67726"/>
    <w:rsid w:val="00F7441C"/>
    <w:rsid w:val="00F767B0"/>
    <w:rsid w:val="00F7784A"/>
    <w:rsid w:val="00F8240D"/>
    <w:rsid w:val="00F83310"/>
    <w:rsid w:val="00F840BA"/>
    <w:rsid w:val="00F849A9"/>
    <w:rsid w:val="00F85F27"/>
    <w:rsid w:val="00F87275"/>
    <w:rsid w:val="00F87548"/>
    <w:rsid w:val="00F87EB1"/>
    <w:rsid w:val="00F916CB"/>
    <w:rsid w:val="00F9267D"/>
    <w:rsid w:val="00F929D7"/>
    <w:rsid w:val="00F937D4"/>
    <w:rsid w:val="00F94EDA"/>
    <w:rsid w:val="00F95FF1"/>
    <w:rsid w:val="00F97828"/>
    <w:rsid w:val="00FB1012"/>
    <w:rsid w:val="00FB2767"/>
    <w:rsid w:val="00FB2EBC"/>
    <w:rsid w:val="00FB32EB"/>
    <w:rsid w:val="00FB3CC6"/>
    <w:rsid w:val="00FC0081"/>
    <w:rsid w:val="00FC2B22"/>
    <w:rsid w:val="00FC4C9D"/>
    <w:rsid w:val="00FD09CC"/>
    <w:rsid w:val="00FD11AE"/>
    <w:rsid w:val="00FD1BCD"/>
    <w:rsid w:val="00FD3B99"/>
    <w:rsid w:val="00FD744F"/>
    <w:rsid w:val="00FE0A68"/>
    <w:rsid w:val="00FE2E88"/>
    <w:rsid w:val="00FF062C"/>
    <w:rsid w:val="00FF1CCF"/>
    <w:rsid w:val="00FF798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EB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E5"/>
    <w:pPr>
      <w:spacing w:before="120" w:line="264" w:lineRule="auto"/>
      <w:jc w:val="left"/>
    </w:pPr>
    <w:rPr>
      <w:rFonts w:ascii="Arial" w:hAnsi="Arial"/>
      <w:lang w:val="en-AU"/>
    </w:rPr>
  </w:style>
  <w:style w:type="paragraph" w:styleId="Heading1">
    <w:name w:val="heading 1"/>
    <w:basedOn w:val="Normal"/>
    <w:next w:val="Normal"/>
    <w:link w:val="Heading1Char"/>
    <w:autoRedefine/>
    <w:uiPriority w:val="9"/>
    <w:qFormat/>
    <w:rsid w:val="00F97828"/>
    <w:pPr>
      <w:keepNext/>
      <w:keepLines/>
      <w:numPr>
        <w:numId w:val="3"/>
      </w:numPr>
      <w:spacing w:before="480"/>
      <w:outlineLvl w:val="0"/>
    </w:pPr>
    <w:rPr>
      <w:rFonts w:eastAsiaTheme="majorEastAsia" w:cstheme="majorBidi"/>
      <w:b/>
      <w:bCs/>
      <w:color w:val="4F6228"/>
      <w:sz w:val="28"/>
      <w:szCs w:val="28"/>
    </w:rPr>
  </w:style>
  <w:style w:type="paragraph" w:styleId="Heading2">
    <w:name w:val="heading 2"/>
    <w:basedOn w:val="Normal"/>
    <w:next w:val="Normal"/>
    <w:link w:val="Heading2Char"/>
    <w:autoRedefine/>
    <w:uiPriority w:val="9"/>
    <w:unhideWhenUsed/>
    <w:qFormat/>
    <w:rsid w:val="00F97828"/>
    <w:pPr>
      <w:keepNext/>
      <w:keepLines/>
      <w:spacing w:before="24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86CFE"/>
    <w:pPr>
      <w:keepNext/>
      <w:keepLines/>
      <w:numPr>
        <w:ilvl w:val="2"/>
        <w:numId w:val="4"/>
      </w:numPr>
      <w:spacing w:before="200"/>
      <w:outlineLvl w:val="2"/>
    </w:pPr>
    <w:rPr>
      <w:rFonts w:eastAsiaTheme="majorEastAsia" w:cstheme="majorBidi"/>
      <w:b/>
      <w:bCs/>
      <w:color w:val="984806" w:themeColor="accent6" w:themeShade="80"/>
    </w:rPr>
  </w:style>
  <w:style w:type="paragraph" w:styleId="Heading4">
    <w:name w:val="heading 4"/>
    <w:basedOn w:val="Normal"/>
    <w:next w:val="Normal"/>
    <w:link w:val="Heading4Char"/>
    <w:uiPriority w:val="9"/>
    <w:unhideWhenUsed/>
    <w:qFormat/>
    <w:rsid w:val="004E1D20"/>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1D20"/>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1D20"/>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1D20"/>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1D20"/>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1D2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Indent1">
    <w:name w:val="Blue Indent 1"/>
    <w:basedOn w:val="Normal"/>
    <w:rsid w:val="00261C28"/>
    <w:pPr>
      <w:spacing w:after="120"/>
      <w:ind w:left="567"/>
      <w:jc w:val="both"/>
    </w:pPr>
    <w:rPr>
      <w:rFonts w:eastAsia="Times New Roman" w:cs="Times New Roman"/>
      <w:bCs/>
      <w:color w:val="0000FF"/>
      <w:sz w:val="20"/>
      <w:szCs w:val="24"/>
    </w:rPr>
  </w:style>
  <w:style w:type="paragraph" w:styleId="ListParagraph">
    <w:name w:val="List Paragraph"/>
    <w:basedOn w:val="Normal"/>
    <w:uiPriority w:val="34"/>
    <w:qFormat/>
    <w:rsid w:val="00E36846"/>
    <w:pPr>
      <w:numPr>
        <w:numId w:val="32"/>
      </w:numPr>
      <w:contextualSpacing/>
    </w:pPr>
  </w:style>
  <w:style w:type="paragraph" w:customStyle="1" w:styleId="ListBulletIndent">
    <w:name w:val="List Bullet Indent"/>
    <w:basedOn w:val="ListBullet"/>
    <w:rsid w:val="009A7BDB"/>
    <w:pPr>
      <w:numPr>
        <w:numId w:val="2"/>
      </w:numPr>
      <w:ind w:left="709" w:hanging="284"/>
    </w:pPr>
  </w:style>
  <w:style w:type="paragraph" w:styleId="ListBullet">
    <w:name w:val="List Bullet"/>
    <w:basedOn w:val="Normal"/>
    <w:link w:val="ListBulletChar"/>
    <w:rsid w:val="009A7BDB"/>
    <w:pPr>
      <w:keepLines/>
      <w:numPr>
        <w:numId w:val="1"/>
      </w:numPr>
      <w:jc w:val="both"/>
    </w:pPr>
    <w:rPr>
      <w:rFonts w:eastAsia="Times New Roman" w:cs="Times New Roman"/>
      <w:sz w:val="20"/>
      <w:szCs w:val="20"/>
    </w:rPr>
  </w:style>
  <w:style w:type="character" w:customStyle="1" w:styleId="ListBulletChar">
    <w:name w:val="List Bullet Char"/>
    <w:link w:val="ListBullet"/>
    <w:rsid w:val="009A7BDB"/>
    <w:rPr>
      <w:rFonts w:ascii="Arial" w:eastAsia="Times New Roman" w:hAnsi="Arial" w:cs="Times New Roman"/>
      <w:sz w:val="20"/>
      <w:szCs w:val="20"/>
      <w:lang w:val="en-AU"/>
    </w:rPr>
  </w:style>
  <w:style w:type="table" w:styleId="TableGrid">
    <w:name w:val="Table Grid"/>
    <w:basedOn w:val="TableNormal"/>
    <w:uiPriority w:val="59"/>
    <w:rsid w:val="00057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805C0"/>
    <w:rPr>
      <w:sz w:val="16"/>
      <w:szCs w:val="16"/>
    </w:rPr>
  </w:style>
  <w:style w:type="paragraph" w:styleId="CommentText">
    <w:name w:val="annotation text"/>
    <w:basedOn w:val="Normal"/>
    <w:link w:val="CommentTextChar"/>
    <w:uiPriority w:val="99"/>
    <w:semiHidden/>
    <w:unhideWhenUsed/>
    <w:rsid w:val="00D805C0"/>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805C0"/>
    <w:rPr>
      <w:rFonts w:ascii="Calibri" w:eastAsia="Calibri" w:hAnsi="Calibri" w:cs="Times New Roman"/>
      <w:sz w:val="20"/>
      <w:szCs w:val="20"/>
      <w:lang w:val="en-AU"/>
    </w:rPr>
  </w:style>
  <w:style w:type="paragraph" w:customStyle="1" w:styleId="Text">
    <w:name w:val="Text"/>
    <w:aliases w:val="Body,b,body,bullet,bu,b Char Char Char,b Char Char Char Char Char Char,b Char Char,Body Char1 Char1,B,Body1,b Char Char Char Char Char Char Char Char,b Char,bold,bullet1,Bullet,b1,Bullet 1,bullet 1"/>
    <w:basedOn w:val="Normal"/>
    <w:link w:val="TextChar"/>
    <w:rsid w:val="0009051D"/>
    <w:pPr>
      <w:keepLines/>
      <w:spacing w:before="240"/>
      <w:jc w:val="both"/>
    </w:pPr>
    <w:rPr>
      <w:rFonts w:eastAsia="Times New Roman" w:cs="Times New Roman"/>
      <w:sz w:val="20"/>
      <w:szCs w:val="20"/>
    </w:rPr>
  </w:style>
  <w:style w:type="character" w:customStyle="1" w:styleId="TextChar">
    <w:name w:val="Text Char"/>
    <w:aliases w:val="Body Char,b Char1,body Char,bullet Char,bu Char,b Char Char Char Char,b Char Char Char Char Char Char Char,b Char Char Char1,Body Char1 Char1 Char,B Char,Body1 Char,b Char Char Char Char Char Char Char Char Char,b Char Char1,Body Char1,b Char2"/>
    <w:link w:val="Text"/>
    <w:rsid w:val="0009051D"/>
    <w:rPr>
      <w:rFonts w:ascii="Arial" w:eastAsia="Times New Roman" w:hAnsi="Arial" w:cs="Times New Roman"/>
      <w:sz w:val="20"/>
      <w:szCs w:val="20"/>
      <w:lang w:val="en-AU"/>
    </w:rPr>
  </w:style>
  <w:style w:type="character" w:styleId="Hyperlink">
    <w:name w:val="Hyperlink"/>
    <w:basedOn w:val="DefaultParagraphFont"/>
    <w:uiPriority w:val="99"/>
    <w:unhideWhenUsed/>
    <w:rsid w:val="00457076"/>
    <w:rPr>
      <w:color w:val="0000FF" w:themeColor="hyperlink"/>
      <w:u w:val="single"/>
    </w:rPr>
  </w:style>
  <w:style w:type="paragraph" w:styleId="NoSpacing">
    <w:name w:val="No Spacing"/>
    <w:link w:val="NoSpacingChar"/>
    <w:uiPriority w:val="1"/>
    <w:qFormat/>
    <w:rsid w:val="00F50741"/>
    <w:pPr>
      <w:jc w:val="left"/>
    </w:pPr>
    <w:rPr>
      <w:rFonts w:eastAsiaTheme="minorEastAsia"/>
    </w:rPr>
  </w:style>
  <w:style w:type="character" w:customStyle="1" w:styleId="NoSpacingChar">
    <w:name w:val="No Spacing Char"/>
    <w:basedOn w:val="DefaultParagraphFont"/>
    <w:link w:val="NoSpacing"/>
    <w:uiPriority w:val="1"/>
    <w:rsid w:val="00F50741"/>
    <w:rPr>
      <w:rFonts w:eastAsiaTheme="minorEastAsia"/>
    </w:rPr>
  </w:style>
  <w:style w:type="paragraph" w:styleId="Header">
    <w:name w:val="header"/>
    <w:basedOn w:val="Normal"/>
    <w:link w:val="HeaderChar"/>
    <w:uiPriority w:val="99"/>
    <w:unhideWhenUsed/>
    <w:rsid w:val="00F50741"/>
    <w:pPr>
      <w:tabs>
        <w:tab w:val="center" w:pos="4680"/>
        <w:tab w:val="right" w:pos="9360"/>
      </w:tabs>
    </w:pPr>
  </w:style>
  <w:style w:type="character" w:customStyle="1" w:styleId="HeaderChar">
    <w:name w:val="Header Char"/>
    <w:basedOn w:val="DefaultParagraphFont"/>
    <w:link w:val="Header"/>
    <w:uiPriority w:val="99"/>
    <w:rsid w:val="00F50741"/>
    <w:rPr>
      <w:lang w:val="en-AU"/>
    </w:rPr>
  </w:style>
  <w:style w:type="paragraph" w:styleId="Footer">
    <w:name w:val="footer"/>
    <w:basedOn w:val="Normal"/>
    <w:link w:val="FooterChar"/>
    <w:uiPriority w:val="99"/>
    <w:unhideWhenUsed/>
    <w:rsid w:val="00F50741"/>
    <w:pPr>
      <w:tabs>
        <w:tab w:val="center" w:pos="4680"/>
        <w:tab w:val="right" w:pos="9360"/>
      </w:tabs>
    </w:pPr>
  </w:style>
  <w:style w:type="character" w:customStyle="1" w:styleId="FooterChar">
    <w:name w:val="Footer Char"/>
    <w:basedOn w:val="DefaultParagraphFont"/>
    <w:link w:val="Footer"/>
    <w:uiPriority w:val="99"/>
    <w:rsid w:val="00F50741"/>
    <w:rPr>
      <w:lang w:val="en-AU"/>
    </w:rPr>
  </w:style>
  <w:style w:type="character" w:customStyle="1" w:styleId="Heading1Char">
    <w:name w:val="Heading 1 Char"/>
    <w:basedOn w:val="DefaultParagraphFont"/>
    <w:link w:val="Heading1"/>
    <w:uiPriority w:val="9"/>
    <w:rsid w:val="00F97828"/>
    <w:rPr>
      <w:rFonts w:ascii="Arial" w:eastAsiaTheme="majorEastAsia" w:hAnsi="Arial" w:cstheme="majorBidi"/>
      <w:b/>
      <w:bCs/>
      <w:color w:val="4F6228"/>
      <w:sz w:val="28"/>
      <w:szCs w:val="28"/>
      <w:lang w:val="en-AU"/>
    </w:rPr>
  </w:style>
  <w:style w:type="paragraph" w:styleId="TOCHeading">
    <w:name w:val="TOC Heading"/>
    <w:basedOn w:val="Heading1"/>
    <w:next w:val="Normal"/>
    <w:uiPriority w:val="39"/>
    <w:unhideWhenUsed/>
    <w:qFormat/>
    <w:rsid w:val="003F1494"/>
    <w:pPr>
      <w:spacing w:line="276" w:lineRule="auto"/>
      <w:outlineLvl w:val="9"/>
    </w:pPr>
    <w:rPr>
      <w:lang w:val="en-US"/>
    </w:rPr>
  </w:style>
  <w:style w:type="paragraph" w:styleId="TOC1">
    <w:name w:val="toc 1"/>
    <w:basedOn w:val="Normal"/>
    <w:next w:val="Normal"/>
    <w:autoRedefine/>
    <w:uiPriority w:val="39"/>
    <w:unhideWhenUsed/>
    <w:qFormat/>
    <w:rsid w:val="003F1494"/>
    <w:pPr>
      <w:spacing w:after="100"/>
    </w:pPr>
  </w:style>
  <w:style w:type="character" w:customStyle="1" w:styleId="Heading2Char">
    <w:name w:val="Heading 2 Char"/>
    <w:basedOn w:val="DefaultParagraphFont"/>
    <w:link w:val="Heading2"/>
    <w:uiPriority w:val="9"/>
    <w:rsid w:val="00F97828"/>
    <w:rPr>
      <w:rFonts w:ascii="Arial" w:eastAsiaTheme="majorEastAsia" w:hAnsi="Arial" w:cstheme="majorBidi"/>
      <w:b/>
      <w:bCs/>
      <w:sz w:val="26"/>
      <w:szCs w:val="26"/>
      <w:lang w:val="en-AU"/>
    </w:rPr>
  </w:style>
  <w:style w:type="paragraph" w:styleId="TOC2">
    <w:name w:val="toc 2"/>
    <w:basedOn w:val="Normal"/>
    <w:next w:val="Normal"/>
    <w:autoRedefine/>
    <w:uiPriority w:val="39"/>
    <w:unhideWhenUsed/>
    <w:qFormat/>
    <w:rsid w:val="00BC75B7"/>
    <w:pPr>
      <w:spacing w:after="100"/>
      <w:ind w:left="220"/>
    </w:pPr>
  </w:style>
  <w:style w:type="paragraph" w:styleId="BalloonText">
    <w:name w:val="Balloon Text"/>
    <w:basedOn w:val="Normal"/>
    <w:link w:val="BalloonTextChar"/>
    <w:uiPriority w:val="99"/>
    <w:semiHidden/>
    <w:unhideWhenUsed/>
    <w:rsid w:val="00CC0C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C02"/>
    <w:rPr>
      <w:rFonts w:ascii="Lucida Grande" w:hAnsi="Lucida Grande" w:cs="Lucida Grande"/>
      <w:sz w:val="18"/>
      <w:szCs w:val="18"/>
      <w:lang w:val="en-AU"/>
    </w:rPr>
  </w:style>
  <w:style w:type="character" w:customStyle="1" w:styleId="Heading3Char">
    <w:name w:val="Heading 3 Char"/>
    <w:basedOn w:val="DefaultParagraphFont"/>
    <w:link w:val="Heading3"/>
    <w:uiPriority w:val="9"/>
    <w:rsid w:val="00A86CFE"/>
    <w:rPr>
      <w:rFonts w:ascii="Arial" w:eastAsiaTheme="majorEastAsia" w:hAnsi="Arial" w:cstheme="majorBidi"/>
      <w:b/>
      <w:bCs/>
      <w:color w:val="984806" w:themeColor="accent6" w:themeShade="80"/>
      <w:lang w:val="en-AU"/>
    </w:rPr>
  </w:style>
  <w:style w:type="character" w:styleId="IntenseReference">
    <w:name w:val="Intense Reference"/>
    <w:basedOn w:val="DefaultParagraphFont"/>
    <w:uiPriority w:val="32"/>
    <w:qFormat/>
    <w:rsid w:val="00795D16"/>
    <w:rPr>
      <w:b/>
      <w:bCs/>
      <w:smallCaps/>
      <w:color w:val="C0504D" w:themeColor="accent2"/>
      <w:spacing w:val="5"/>
      <w:u w:val="single"/>
    </w:rPr>
  </w:style>
  <w:style w:type="character" w:customStyle="1" w:styleId="Heading4Char">
    <w:name w:val="Heading 4 Char"/>
    <w:basedOn w:val="DefaultParagraphFont"/>
    <w:link w:val="Heading4"/>
    <w:uiPriority w:val="9"/>
    <w:rsid w:val="004E1D20"/>
    <w:rPr>
      <w:rFonts w:asciiTheme="majorHAnsi" w:eastAsiaTheme="majorEastAsia" w:hAnsiTheme="majorHAnsi" w:cstheme="majorBidi"/>
      <w:b/>
      <w:bCs/>
      <w:i/>
      <w:iCs/>
      <w:color w:val="4F81BD" w:themeColor="accent1"/>
      <w:lang w:val="en-AU"/>
    </w:rPr>
  </w:style>
  <w:style w:type="character" w:customStyle="1" w:styleId="Heading5Char">
    <w:name w:val="Heading 5 Char"/>
    <w:basedOn w:val="DefaultParagraphFont"/>
    <w:link w:val="Heading5"/>
    <w:uiPriority w:val="9"/>
    <w:semiHidden/>
    <w:rsid w:val="004E1D20"/>
    <w:rPr>
      <w:rFonts w:asciiTheme="majorHAnsi" w:eastAsiaTheme="majorEastAsia" w:hAnsiTheme="majorHAnsi" w:cstheme="majorBidi"/>
      <w:color w:val="243F60" w:themeColor="accent1" w:themeShade="7F"/>
      <w:lang w:val="en-AU"/>
    </w:rPr>
  </w:style>
  <w:style w:type="character" w:customStyle="1" w:styleId="Heading6Char">
    <w:name w:val="Heading 6 Char"/>
    <w:basedOn w:val="DefaultParagraphFont"/>
    <w:link w:val="Heading6"/>
    <w:uiPriority w:val="9"/>
    <w:semiHidden/>
    <w:rsid w:val="004E1D20"/>
    <w:rPr>
      <w:rFonts w:asciiTheme="majorHAnsi" w:eastAsiaTheme="majorEastAsia" w:hAnsiTheme="majorHAnsi" w:cstheme="majorBidi"/>
      <w:i/>
      <w:iCs/>
      <w:color w:val="243F60" w:themeColor="accent1" w:themeShade="7F"/>
      <w:lang w:val="en-AU"/>
    </w:rPr>
  </w:style>
  <w:style w:type="character" w:customStyle="1" w:styleId="Heading7Char">
    <w:name w:val="Heading 7 Char"/>
    <w:basedOn w:val="DefaultParagraphFont"/>
    <w:link w:val="Heading7"/>
    <w:uiPriority w:val="9"/>
    <w:semiHidden/>
    <w:rsid w:val="004E1D20"/>
    <w:rPr>
      <w:rFonts w:asciiTheme="majorHAnsi" w:eastAsiaTheme="majorEastAsia" w:hAnsiTheme="majorHAnsi" w:cstheme="majorBidi"/>
      <w:i/>
      <w:iCs/>
      <w:color w:val="404040" w:themeColor="text1" w:themeTint="BF"/>
      <w:lang w:val="en-AU"/>
    </w:rPr>
  </w:style>
  <w:style w:type="character" w:customStyle="1" w:styleId="Heading8Char">
    <w:name w:val="Heading 8 Char"/>
    <w:basedOn w:val="DefaultParagraphFont"/>
    <w:link w:val="Heading8"/>
    <w:uiPriority w:val="9"/>
    <w:semiHidden/>
    <w:rsid w:val="004E1D20"/>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4E1D20"/>
    <w:rPr>
      <w:rFonts w:asciiTheme="majorHAnsi" w:eastAsiaTheme="majorEastAsia" w:hAnsiTheme="majorHAnsi" w:cstheme="majorBidi"/>
      <w:i/>
      <w:iCs/>
      <w:color w:val="404040" w:themeColor="text1" w:themeTint="BF"/>
      <w:sz w:val="20"/>
      <w:szCs w:val="20"/>
      <w:lang w:val="en-AU"/>
    </w:rPr>
  </w:style>
  <w:style w:type="paragraph" w:styleId="CommentSubject">
    <w:name w:val="annotation subject"/>
    <w:basedOn w:val="CommentText"/>
    <w:next w:val="CommentText"/>
    <w:link w:val="CommentSubjectChar"/>
    <w:uiPriority w:val="99"/>
    <w:semiHidden/>
    <w:unhideWhenUsed/>
    <w:rsid w:val="00D476CD"/>
    <w:pPr>
      <w:spacing w:line="240" w:lineRule="auto"/>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D476CD"/>
    <w:rPr>
      <w:rFonts w:ascii="Arial" w:eastAsia="Calibri" w:hAnsi="Arial" w:cs="Times New Roman"/>
      <w:b/>
      <w:bCs/>
      <w:sz w:val="20"/>
      <w:szCs w:val="20"/>
      <w:lang w:val="en-AU"/>
    </w:rPr>
  </w:style>
  <w:style w:type="paragraph" w:styleId="Caption">
    <w:name w:val="caption"/>
    <w:basedOn w:val="Normal"/>
    <w:next w:val="Normal"/>
    <w:uiPriority w:val="35"/>
    <w:unhideWhenUsed/>
    <w:qFormat/>
    <w:rsid w:val="00F11EDA"/>
    <w:pPr>
      <w:spacing w:after="200" w:line="240" w:lineRule="auto"/>
    </w:pPr>
    <w:rPr>
      <w:b/>
      <w:bCs/>
      <w:color w:val="4F81BD" w:themeColor="accent1"/>
      <w:sz w:val="18"/>
      <w:szCs w:val="18"/>
    </w:rPr>
  </w:style>
  <w:style w:type="paragraph" w:styleId="Revision">
    <w:name w:val="Revision"/>
    <w:hidden/>
    <w:uiPriority w:val="99"/>
    <w:semiHidden/>
    <w:rsid w:val="00755B1A"/>
    <w:pPr>
      <w:jc w:val="left"/>
    </w:pPr>
    <w:rPr>
      <w:rFonts w:ascii="Arial" w:hAnsi="Arial"/>
      <w:lang w:val="en-AU"/>
    </w:rPr>
  </w:style>
  <w:style w:type="paragraph" w:styleId="TOC3">
    <w:name w:val="toc 3"/>
    <w:basedOn w:val="Normal"/>
    <w:next w:val="Normal"/>
    <w:autoRedefine/>
    <w:uiPriority w:val="39"/>
    <w:unhideWhenUsed/>
    <w:qFormat/>
    <w:rsid w:val="00241E3B"/>
    <w:pPr>
      <w:spacing w:after="100"/>
      <w:ind w:left="440"/>
    </w:pPr>
  </w:style>
  <w:style w:type="paragraph" w:styleId="DocumentMap">
    <w:name w:val="Document Map"/>
    <w:basedOn w:val="Normal"/>
    <w:link w:val="DocumentMapChar"/>
    <w:uiPriority w:val="99"/>
    <w:semiHidden/>
    <w:unhideWhenUsed/>
    <w:rsid w:val="007775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775D4"/>
    <w:rPr>
      <w:rFonts w:ascii="Tahoma" w:hAnsi="Tahoma" w:cs="Tahoma"/>
      <w:sz w:val="16"/>
      <w:szCs w:val="16"/>
      <w:lang w:val="en-AU"/>
    </w:rPr>
  </w:style>
  <w:style w:type="paragraph" w:customStyle="1" w:styleId="Default">
    <w:name w:val="Default"/>
    <w:rsid w:val="00DF01A6"/>
    <w:pPr>
      <w:autoSpaceDE w:val="0"/>
      <w:autoSpaceDN w:val="0"/>
      <w:adjustRightInd w:val="0"/>
      <w:jc w:val="left"/>
    </w:pPr>
    <w:rPr>
      <w:rFonts w:ascii="Futura Std Light" w:hAnsi="Futura Std Light" w:cs="Futura Std Light"/>
      <w:color w:val="000000"/>
      <w:sz w:val="24"/>
      <w:szCs w:val="24"/>
      <w:lang w:val="en-AU"/>
    </w:rPr>
  </w:style>
  <w:style w:type="character" w:customStyle="1" w:styleId="A9">
    <w:name w:val="A9"/>
    <w:uiPriority w:val="99"/>
    <w:rsid w:val="00DF01A6"/>
    <w:rPr>
      <w:rFonts w:ascii="Symbol" w:hAnsi="Symbol" w:cs="Symbol"/>
      <w:color w:val="221E1F"/>
    </w:rPr>
  </w:style>
  <w:style w:type="paragraph" w:styleId="FootnoteText">
    <w:name w:val="footnote text"/>
    <w:basedOn w:val="Normal"/>
    <w:link w:val="FootnoteTextChar"/>
    <w:uiPriority w:val="99"/>
    <w:semiHidden/>
    <w:unhideWhenUsed/>
    <w:rsid w:val="006D182D"/>
    <w:pPr>
      <w:spacing w:line="240" w:lineRule="auto"/>
    </w:pPr>
    <w:rPr>
      <w:sz w:val="20"/>
      <w:szCs w:val="20"/>
    </w:rPr>
  </w:style>
  <w:style w:type="character" w:customStyle="1" w:styleId="FootnoteTextChar">
    <w:name w:val="Footnote Text Char"/>
    <w:basedOn w:val="DefaultParagraphFont"/>
    <w:link w:val="FootnoteText"/>
    <w:uiPriority w:val="99"/>
    <w:semiHidden/>
    <w:rsid w:val="006D182D"/>
    <w:rPr>
      <w:rFonts w:ascii="Arial" w:hAnsi="Arial"/>
      <w:sz w:val="20"/>
      <w:szCs w:val="20"/>
      <w:lang w:val="en-AU"/>
    </w:rPr>
  </w:style>
  <w:style w:type="character" w:styleId="FootnoteReference">
    <w:name w:val="footnote reference"/>
    <w:basedOn w:val="DefaultParagraphFont"/>
    <w:uiPriority w:val="99"/>
    <w:semiHidden/>
    <w:unhideWhenUsed/>
    <w:rsid w:val="006D182D"/>
    <w:rPr>
      <w:vertAlign w:val="superscript"/>
    </w:rPr>
  </w:style>
  <w:style w:type="table" w:styleId="MediumShading1-Accent3">
    <w:name w:val="Medium Shading 1 Accent 3"/>
    <w:basedOn w:val="TableNormal"/>
    <w:uiPriority w:val="63"/>
    <w:rsid w:val="007814E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biosecurity">
    <w:name w:val="biosecurity"/>
    <w:basedOn w:val="TableNormal"/>
    <w:uiPriority w:val="99"/>
    <w:rsid w:val="00914925"/>
    <w:pPr>
      <w:jc w:val="left"/>
    </w:pPr>
    <w:rPr>
      <w:rFonts w:ascii="Arial" w:hAnsi="Arial"/>
    </w:rPr>
    <w:tblPr>
      <w:tblStyleRowBandSize w:val="1"/>
      <w:tblInd w:w="0" w:type="dxa"/>
      <w:tblCellMar>
        <w:top w:w="0" w:type="dxa"/>
        <w:left w:w="108" w:type="dxa"/>
        <w:bottom w:w="0" w:type="dxa"/>
        <w:right w:w="108" w:type="dxa"/>
      </w:tblCellMar>
    </w:tblPr>
    <w:tblStylePr w:type="firstRow">
      <w:rPr>
        <w:color w:val="auto"/>
      </w:rPr>
      <w:tblPr/>
      <w:tcPr>
        <w:shd w:val="clear" w:color="auto" w:fill="AEC87A"/>
      </w:tcPr>
    </w:tblStylePr>
    <w:tblStylePr w:type="band2Horz">
      <w:tblPr/>
      <w:tcPr>
        <w:shd w:val="clear" w:color="auto" w:fill="F2F2F2" w:themeFill="background1" w:themeFillShade="F2"/>
      </w:tcPr>
    </w:tblStylePr>
  </w:style>
  <w:style w:type="paragraph" w:customStyle="1" w:styleId="BodyText1">
    <w:name w:val="Body Text1"/>
    <w:basedOn w:val="Normal"/>
    <w:autoRedefine/>
    <w:qFormat/>
    <w:rsid w:val="00F501B4"/>
  </w:style>
  <w:style w:type="paragraph" w:customStyle="1" w:styleId="question">
    <w:name w:val="question"/>
    <w:basedOn w:val="Normal"/>
    <w:qFormat/>
    <w:rsid w:val="0077513D"/>
    <w:pPr>
      <w:spacing w:before="240" w:after="113" w:line="280" w:lineRule="exact"/>
      <w:ind w:left="567" w:hanging="567"/>
    </w:pPr>
    <w:rPr>
      <w:rFonts w:eastAsiaTheme="minorEastAsia"/>
      <w:b/>
      <w:color w:val="000000" w:themeColor="text1"/>
      <w:sz w:val="24"/>
      <w:szCs w:val="24"/>
      <w:lang w:eastAsia="en-AU"/>
    </w:rPr>
  </w:style>
  <w:style w:type="table" w:customStyle="1" w:styleId="Style1">
    <w:name w:val="Style1"/>
    <w:basedOn w:val="TableNormal"/>
    <w:uiPriority w:val="99"/>
    <w:rsid w:val="0077513D"/>
    <w:pPr>
      <w:spacing w:before="20"/>
      <w:jc w:val="left"/>
    </w:pPr>
    <w:rPr>
      <w:rFonts w:ascii="Arial" w:eastAsiaTheme="minorEastAsia" w:hAnsi="Arial"/>
      <w:lang w:val="en-AU" w:eastAsia="en-AU"/>
    </w:rPr>
    <w:tblPr>
      <w:tblStyleRowBandSize w:val="1"/>
      <w:tblInd w:w="0" w:type="dxa"/>
      <w:tblCellMar>
        <w:top w:w="0" w:type="dxa"/>
        <w:left w:w="108" w:type="dxa"/>
        <w:bottom w:w="0" w:type="dxa"/>
        <w:right w:w="108" w:type="dxa"/>
      </w:tblCellMar>
    </w:tblPr>
    <w:tblStylePr w:type="firstRow">
      <w:tblPr/>
      <w:trPr>
        <w:cantSplit/>
        <w:tblHeader/>
      </w:trPr>
      <w:tcPr>
        <w:shd w:val="clear" w:color="auto" w:fill="FFFFFF" w:themeFill="background1"/>
      </w:tcPr>
    </w:tblStylePr>
    <w:tblStylePr w:type="band1Horz">
      <w:tblPr/>
      <w:tcPr>
        <w:shd w:val="clear" w:color="auto" w:fill="EEECE1" w:themeFill="background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E5"/>
    <w:pPr>
      <w:spacing w:before="120" w:line="264" w:lineRule="auto"/>
      <w:jc w:val="left"/>
    </w:pPr>
    <w:rPr>
      <w:rFonts w:ascii="Arial" w:hAnsi="Arial"/>
      <w:lang w:val="en-AU"/>
    </w:rPr>
  </w:style>
  <w:style w:type="paragraph" w:styleId="Heading1">
    <w:name w:val="heading 1"/>
    <w:basedOn w:val="Normal"/>
    <w:next w:val="Normal"/>
    <w:link w:val="Heading1Char"/>
    <w:autoRedefine/>
    <w:uiPriority w:val="9"/>
    <w:qFormat/>
    <w:rsid w:val="00F97828"/>
    <w:pPr>
      <w:keepNext/>
      <w:keepLines/>
      <w:numPr>
        <w:numId w:val="3"/>
      </w:numPr>
      <w:spacing w:before="480"/>
      <w:outlineLvl w:val="0"/>
    </w:pPr>
    <w:rPr>
      <w:rFonts w:eastAsiaTheme="majorEastAsia" w:cstheme="majorBidi"/>
      <w:b/>
      <w:bCs/>
      <w:color w:val="4F6228"/>
      <w:sz w:val="28"/>
      <w:szCs w:val="28"/>
    </w:rPr>
  </w:style>
  <w:style w:type="paragraph" w:styleId="Heading2">
    <w:name w:val="heading 2"/>
    <w:basedOn w:val="Normal"/>
    <w:next w:val="Normal"/>
    <w:link w:val="Heading2Char"/>
    <w:autoRedefine/>
    <w:uiPriority w:val="9"/>
    <w:unhideWhenUsed/>
    <w:qFormat/>
    <w:rsid w:val="00F97828"/>
    <w:pPr>
      <w:keepNext/>
      <w:keepLines/>
      <w:spacing w:before="24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86CFE"/>
    <w:pPr>
      <w:keepNext/>
      <w:keepLines/>
      <w:numPr>
        <w:ilvl w:val="2"/>
        <w:numId w:val="4"/>
      </w:numPr>
      <w:spacing w:before="200"/>
      <w:outlineLvl w:val="2"/>
    </w:pPr>
    <w:rPr>
      <w:rFonts w:eastAsiaTheme="majorEastAsia" w:cstheme="majorBidi"/>
      <w:b/>
      <w:bCs/>
      <w:color w:val="984806" w:themeColor="accent6" w:themeShade="80"/>
    </w:rPr>
  </w:style>
  <w:style w:type="paragraph" w:styleId="Heading4">
    <w:name w:val="heading 4"/>
    <w:basedOn w:val="Normal"/>
    <w:next w:val="Normal"/>
    <w:link w:val="Heading4Char"/>
    <w:uiPriority w:val="9"/>
    <w:unhideWhenUsed/>
    <w:qFormat/>
    <w:rsid w:val="004E1D20"/>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1D20"/>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1D20"/>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1D20"/>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1D20"/>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1D2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Indent1">
    <w:name w:val="Blue Indent 1"/>
    <w:basedOn w:val="Normal"/>
    <w:rsid w:val="00261C28"/>
    <w:pPr>
      <w:spacing w:after="120"/>
      <w:ind w:left="567"/>
      <w:jc w:val="both"/>
    </w:pPr>
    <w:rPr>
      <w:rFonts w:eastAsia="Times New Roman" w:cs="Times New Roman"/>
      <w:bCs/>
      <w:color w:val="0000FF"/>
      <w:sz w:val="20"/>
      <w:szCs w:val="24"/>
    </w:rPr>
  </w:style>
  <w:style w:type="paragraph" w:styleId="ListParagraph">
    <w:name w:val="List Paragraph"/>
    <w:basedOn w:val="Normal"/>
    <w:uiPriority w:val="34"/>
    <w:qFormat/>
    <w:rsid w:val="00E36846"/>
    <w:pPr>
      <w:numPr>
        <w:numId w:val="32"/>
      </w:numPr>
      <w:contextualSpacing/>
    </w:pPr>
  </w:style>
  <w:style w:type="paragraph" w:customStyle="1" w:styleId="ListBulletIndent">
    <w:name w:val="List Bullet Indent"/>
    <w:basedOn w:val="ListBullet"/>
    <w:rsid w:val="009A7BDB"/>
    <w:pPr>
      <w:numPr>
        <w:numId w:val="2"/>
      </w:numPr>
      <w:ind w:left="709" w:hanging="284"/>
    </w:pPr>
  </w:style>
  <w:style w:type="paragraph" w:styleId="ListBullet">
    <w:name w:val="List Bullet"/>
    <w:basedOn w:val="Normal"/>
    <w:link w:val="ListBulletChar"/>
    <w:rsid w:val="009A7BDB"/>
    <w:pPr>
      <w:keepLines/>
      <w:numPr>
        <w:numId w:val="1"/>
      </w:numPr>
      <w:jc w:val="both"/>
    </w:pPr>
    <w:rPr>
      <w:rFonts w:eastAsia="Times New Roman" w:cs="Times New Roman"/>
      <w:sz w:val="20"/>
      <w:szCs w:val="20"/>
    </w:rPr>
  </w:style>
  <w:style w:type="character" w:customStyle="1" w:styleId="ListBulletChar">
    <w:name w:val="List Bullet Char"/>
    <w:link w:val="ListBullet"/>
    <w:rsid w:val="009A7BDB"/>
    <w:rPr>
      <w:rFonts w:ascii="Arial" w:eastAsia="Times New Roman" w:hAnsi="Arial" w:cs="Times New Roman"/>
      <w:sz w:val="20"/>
      <w:szCs w:val="20"/>
      <w:lang w:val="en-AU"/>
    </w:rPr>
  </w:style>
  <w:style w:type="table" w:styleId="TableGrid">
    <w:name w:val="Table Grid"/>
    <w:basedOn w:val="TableNormal"/>
    <w:uiPriority w:val="59"/>
    <w:rsid w:val="00057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805C0"/>
    <w:rPr>
      <w:sz w:val="16"/>
      <w:szCs w:val="16"/>
    </w:rPr>
  </w:style>
  <w:style w:type="paragraph" w:styleId="CommentText">
    <w:name w:val="annotation text"/>
    <w:basedOn w:val="Normal"/>
    <w:link w:val="CommentTextChar"/>
    <w:uiPriority w:val="99"/>
    <w:semiHidden/>
    <w:unhideWhenUsed/>
    <w:rsid w:val="00D805C0"/>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805C0"/>
    <w:rPr>
      <w:rFonts w:ascii="Calibri" w:eastAsia="Calibri" w:hAnsi="Calibri" w:cs="Times New Roman"/>
      <w:sz w:val="20"/>
      <w:szCs w:val="20"/>
      <w:lang w:val="en-AU"/>
    </w:rPr>
  </w:style>
  <w:style w:type="paragraph" w:customStyle="1" w:styleId="Text">
    <w:name w:val="Text"/>
    <w:aliases w:val="Body,b,body,bullet,bu,b Char Char Char,b Char Char Char Char Char Char,b Char Char,Body Char1 Char1,B,Body1,b Char Char Char Char Char Char Char Char,b Char,bold,bullet1,Bullet,b1,Bullet 1,bullet 1"/>
    <w:basedOn w:val="Normal"/>
    <w:link w:val="TextChar"/>
    <w:rsid w:val="0009051D"/>
    <w:pPr>
      <w:keepLines/>
      <w:spacing w:before="240"/>
      <w:jc w:val="both"/>
    </w:pPr>
    <w:rPr>
      <w:rFonts w:eastAsia="Times New Roman" w:cs="Times New Roman"/>
      <w:sz w:val="20"/>
      <w:szCs w:val="20"/>
    </w:rPr>
  </w:style>
  <w:style w:type="character" w:customStyle="1" w:styleId="TextChar">
    <w:name w:val="Text Char"/>
    <w:aliases w:val="Body Char,b Char1,body Char,bullet Char,bu Char,b Char Char Char Char,b Char Char Char Char Char Char Char,b Char Char Char1,Body Char1 Char1 Char,B Char,Body1 Char,b Char Char Char Char Char Char Char Char Char,b Char Char1,Body Char1,b Char2"/>
    <w:link w:val="Text"/>
    <w:rsid w:val="0009051D"/>
    <w:rPr>
      <w:rFonts w:ascii="Arial" w:eastAsia="Times New Roman" w:hAnsi="Arial" w:cs="Times New Roman"/>
      <w:sz w:val="20"/>
      <w:szCs w:val="20"/>
      <w:lang w:val="en-AU"/>
    </w:rPr>
  </w:style>
  <w:style w:type="character" w:styleId="Hyperlink">
    <w:name w:val="Hyperlink"/>
    <w:basedOn w:val="DefaultParagraphFont"/>
    <w:uiPriority w:val="99"/>
    <w:unhideWhenUsed/>
    <w:rsid w:val="00457076"/>
    <w:rPr>
      <w:color w:val="0000FF" w:themeColor="hyperlink"/>
      <w:u w:val="single"/>
    </w:rPr>
  </w:style>
  <w:style w:type="paragraph" w:styleId="NoSpacing">
    <w:name w:val="No Spacing"/>
    <w:link w:val="NoSpacingChar"/>
    <w:uiPriority w:val="1"/>
    <w:qFormat/>
    <w:rsid w:val="00F50741"/>
    <w:pPr>
      <w:jc w:val="left"/>
    </w:pPr>
    <w:rPr>
      <w:rFonts w:eastAsiaTheme="minorEastAsia"/>
    </w:rPr>
  </w:style>
  <w:style w:type="character" w:customStyle="1" w:styleId="NoSpacingChar">
    <w:name w:val="No Spacing Char"/>
    <w:basedOn w:val="DefaultParagraphFont"/>
    <w:link w:val="NoSpacing"/>
    <w:uiPriority w:val="1"/>
    <w:rsid w:val="00F50741"/>
    <w:rPr>
      <w:rFonts w:eastAsiaTheme="minorEastAsia"/>
    </w:rPr>
  </w:style>
  <w:style w:type="paragraph" w:styleId="Header">
    <w:name w:val="header"/>
    <w:basedOn w:val="Normal"/>
    <w:link w:val="HeaderChar"/>
    <w:uiPriority w:val="99"/>
    <w:unhideWhenUsed/>
    <w:rsid w:val="00F50741"/>
    <w:pPr>
      <w:tabs>
        <w:tab w:val="center" w:pos="4680"/>
        <w:tab w:val="right" w:pos="9360"/>
      </w:tabs>
    </w:pPr>
  </w:style>
  <w:style w:type="character" w:customStyle="1" w:styleId="HeaderChar">
    <w:name w:val="Header Char"/>
    <w:basedOn w:val="DefaultParagraphFont"/>
    <w:link w:val="Header"/>
    <w:uiPriority w:val="99"/>
    <w:rsid w:val="00F50741"/>
    <w:rPr>
      <w:lang w:val="en-AU"/>
    </w:rPr>
  </w:style>
  <w:style w:type="paragraph" w:styleId="Footer">
    <w:name w:val="footer"/>
    <w:basedOn w:val="Normal"/>
    <w:link w:val="FooterChar"/>
    <w:uiPriority w:val="99"/>
    <w:unhideWhenUsed/>
    <w:rsid w:val="00F50741"/>
    <w:pPr>
      <w:tabs>
        <w:tab w:val="center" w:pos="4680"/>
        <w:tab w:val="right" w:pos="9360"/>
      </w:tabs>
    </w:pPr>
  </w:style>
  <w:style w:type="character" w:customStyle="1" w:styleId="FooterChar">
    <w:name w:val="Footer Char"/>
    <w:basedOn w:val="DefaultParagraphFont"/>
    <w:link w:val="Footer"/>
    <w:uiPriority w:val="99"/>
    <w:rsid w:val="00F50741"/>
    <w:rPr>
      <w:lang w:val="en-AU"/>
    </w:rPr>
  </w:style>
  <w:style w:type="character" w:customStyle="1" w:styleId="Heading1Char">
    <w:name w:val="Heading 1 Char"/>
    <w:basedOn w:val="DefaultParagraphFont"/>
    <w:link w:val="Heading1"/>
    <w:uiPriority w:val="9"/>
    <w:rsid w:val="00F97828"/>
    <w:rPr>
      <w:rFonts w:ascii="Arial" w:eastAsiaTheme="majorEastAsia" w:hAnsi="Arial" w:cstheme="majorBidi"/>
      <w:b/>
      <w:bCs/>
      <w:color w:val="4F6228"/>
      <w:sz w:val="28"/>
      <w:szCs w:val="28"/>
      <w:lang w:val="en-AU"/>
    </w:rPr>
  </w:style>
  <w:style w:type="paragraph" w:styleId="TOCHeading">
    <w:name w:val="TOC Heading"/>
    <w:basedOn w:val="Heading1"/>
    <w:next w:val="Normal"/>
    <w:uiPriority w:val="39"/>
    <w:unhideWhenUsed/>
    <w:qFormat/>
    <w:rsid w:val="003F1494"/>
    <w:pPr>
      <w:spacing w:line="276" w:lineRule="auto"/>
      <w:outlineLvl w:val="9"/>
    </w:pPr>
    <w:rPr>
      <w:lang w:val="en-US"/>
    </w:rPr>
  </w:style>
  <w:style w:type="paragraph" w:styleId="TOC1">
    <w:name w:val="toc 1"/>
    <w:basedOn w:val="Normal"/>
    <w:next w:val="Normal"/>
    <w:autoRedefine/>
    <w:uiPriority w:val="39"/>
    <w:unhideWhenUsed/>
    <w:qFormat/>
    <w:rsid w:val="003F1494"/>
    <w:pPr>
      <w:spacing w:after="100"/>
    </w:pPr>
  </w:style>
  <w:style w:type="character" w:customStyle="1" w:styleId="Heading2Char">
    <w:name w:val="Heading 2 Char"/>
    <w:basedOn w:val="DefaultParagraphFont"/>
    <w:link w:val="Heading2"/>
    <w:uiPriority w:val="9"/>
    <w:rsid w:val="00F97828"/>
    <w:rPr>
      <w:rFonts w:ascii="Arial" w:eastAsiaTheme="majorEastAsia" w:hAnsi="Arial" w:cstheme="majorBidi"/>
      <w:b/>
      <w:bCs/>
      <w:sz w:val="26"/>
      <w:szCs w:val="26"/>
      <w:lang w:val="en-AU"/>
    </w:rPr>
  </w:style>
  <w:style w:type="paragraph" w:styleId="TOC2">
    <w:name w:val="toc 2"/>
    <w:basedOn w:val="Normal"/>
    <w:next w:val="Normal"/>
    <w:autoRedefine/>
    <w:uiPriority w:val="39"/>
    <w:unhideWhenUsed/>
    <w:qFormat/>
    <w:rsid w:val="00BC75B7"/>
    <w:pPr>
      <w:spacing w:after="100"/>
      <w:ind w:left="220"/>
    </w:pPr>
  </w:style>
  <w:style w:type="paragraph" w:styleId="BalloonText">
    <w:name w:val="Balloon Text"/>
    <w:basedOn w:val="Normal"/>
    <w:link w:val="BalloonTextChar"/>
    <w:uiPriority w:val="99"/>
    <w:semiHidden/>
    <w:unhideWhenUsed/>
    <w:rsid w:val="00CC0C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C02"/>
    <w:rPr>
      <w:rFonts w:ascii="Lucida Grande" w:hAnsi="Lucida Grande" w:cs="Lucida Grande"/>
      <w:sz w:val="18"/>
      <w:szCs w:val="18"/>
      <w:lang w:val="en-AU"/>
    </w:rPr>
  </w:style>
  <w:style w:type="character" w:customStyle="1" w:styleId="Heading3Char">
    <w:name w:val="Heading 3 Char"/>
    <w:basedOn w:val="DefaultParagraphFont"/>
    <w:link w:val="Heading3"/>
    <w:uiPriority w:val="9"/>
    <w:rsid w:val="00A86CFE"/>
    <w:rPr>
      <w:rFonts w:ascii="Arial" w:eastAsiaTheme="majorEastAsia" w:hAnsi="Arial" w:cstheme="majorBidi"/>
      <w:b/>
      <w:bCs/>
      <w:color w:val="984806" w:themeColor="accent6" w:themeShade="80"/>
      <w:lang w:val="en-AU"/>
    </w:rPr>
  </w:style>
  <w:style w:type="character" w:styleId="IntenseReference">
    <w:name w:val="Intense Reference"/>
    <w:basedOn w:val="DefaultParagraphFont"/>
    <w:uiPriority w:val="32"/>
    <w:qFormat/>
    <w:rsid w:val="00795D16"/>
    <w:rPr>
      <w:b/>
      <w:bCs/>
      <w:smallCaps/>
      <w:color w:val="C0504D" w:themeColor="accent2"/>
      <w:spacing w:val="5"/>
      <w:u w:val="single"/>
    </w:rPr>
  </w:style>
  <w:style w:type="character" w:customStyle="1" w:styleId="Heading4Char">
    <w:name w:val="Heading 4 Char"/>
    <w:basedOn w:val="DefaultParagraphFont"/>
    <w:link w:val="Heading4"/>
    <w:uiPriority w:val="9"/>
    <w:rsid w:val="004E1D20"/>
    <w:rPr>
      <w:rFonts w:asciiTheme="majorHAnsi" w:eastAsiaTheme="majorEastAsia" w:hAnsiTheme="majorHAnsi" w:cstheme="majorBidi"/>
      <w:b/>
      <w:bCs/>
      <w:i/>
      <w:iCs/>
      <w:color w:val="4F81BD" w:themeColor="accent1"/>
      <w:lang w:val="en-AU"/>
    </w:rPr>
  </w:style>
  <w:style w:type="character" w:customStyle="1" w:styleId="Heading5Char">
    <w:name w:val="Heading 5 Char"/>
    <w:basedOn w:val="DefaultParagraphFont"/>
    <w:link w:val="Heading5"/>
    <w:uiPriority w:val="9"/>
    <w:semiHidden/>
    <w:rsid w:val="004E1D20"/>
    <w:rPr>
      <w:rFonts w:asciiTheme="majorHAnsi" w:eastAsiaTheme="majorEastAsia" w:hAnsiTheme="majorHAnsi" w:cstheme="majorBidi"/>
      <w:color w:val="243F60" w:themeColor="accent1" w:themeShade="7F"/>
      <w:lang w:val="en-AU"/>
    </w:rPr>
  </w:style>
  <w:style w:type="character" w:customStyle="1" w:styleId="Heading6Char">
    <w:name w:val="Heading 6 Char"/>
    <w:basedOn w:val="DefaultParagraphFont"/>
    <w:link w:val="Heading6"/>
    <w:uiPriority w:val="9"/>
    <w:semiHidden/>
    <w:rsid w:val="004E1D20"/>
    <w:rPr>
      <w:rFonts w:asciiTheme="majorHAnsi" w:eastAsiaTheme="majorEastAsia" w:hAnsiTheme="majorHAnsi" w:cstheme="majorBidi"/>
      <w:i/>
      <w:iCs/>
      <w:color w:val="243F60" w:themeColor="accent1" w:themeShade="7F"/>
      <w:lang w:val="en-AU"/>
    </w:rPr>
  </w:style>
  <w:style w:type="character" w:customStyle="1" w:styleId="Heading7Char">
    <w:name w:val="Heading 7 Char"/>
    <w:basedOn w:val="DefaultParagraphFont"/>
    <w:link w:val="Heading7"/>
    <w:uiPriority w:val="9"/>
    <w:semiHidden/>
    <w:rsid w:val="004E1D20"/>
    <w:rPr>
      <w:rFonts w:asciiTheme="majorHAnsi" w:eastAsiaTheme="majorEastAsia" w:hAnsiTheme="majorHAnsi" w:cstheme="majorBidi"/>
      <w:i/>
      <w:iCs/>
      <w:color w:val="404040" w:themeColor="text1" w:themeTint="BF"/>
      <w:lang w:val="en-AU"/>
    </w:rPr>
  </w:style>
  <w:style w:type="character" w:customStyle="1" w:styleId="Heading8Char">
    <w:name w:val="Heading 8 Char"/>
    <w:basedOn w:val="DefaultParagraphFont"/>
    <w:link w:val="Heading8"/>
    <w:uiPriority w:val="9"/>
    <w:semiHidden/>
    <w:rsid w:val="004E1D20"/>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4E1D20"/>
    <w:rPr>
      <w:rFonts w:asciiTheme="majorHAnsi" w:eastAsiaTheme="majorEastAsia" w:hAnsiTheme="majorHAnsi" w:cstheme="majorBidi"/>
      <w:i/>
      <w:iCs/>
      <w:color w:val="404040" w:themeColor="text1" w:themeTint="BF"/>
      <w:sz w:val="20"/>
      <w:szCs w:val="20"/>
      <w:lang w:val="en-AU"/>
    </w:rPr>
  </w:style>
  <w:style w:type="paragraph" w:styleId="CommentSubject">
    <w:name w:val="annotation subject"/>
    <w:basedOn w:val="CommentText"/>
    <w:next w:val="CommentText"/>
    <w:link w:val="CommentSubjectChar"/>
    <w:uiPriority w:val="99"/>
    <w:semiHidden/>
    <w:unhideWhenUsed/>
    <w:rsid w:val="00D476CD"/>
    <w:pPr>
      <w:spacing w:line="240" w:lineRule="auto"/>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D476CD"/>
    <w:rPr>
      <w:rFonts w:ascii="Arial" w:eastAsia="Calibri" w:hAnsi="Arial" w:cs="Times New Roman"/>
      <w:b/>
      <w:bCs/>
      <w:sz w:val="20"/>
      <w:szCs w:val="20"/>
      <w:lang w:val="en-AU"/>
    </w:rPr>
  </w:style>
  <w:style w:type="paragraph" w:styleId="Caption">
    <w:name w:val="caption"/>
    <w:basedOn w:val="Normal"/>
    <w:next w:val="Normal"/>
    <w:uiPriority w:val="35"/>
    <w:unhideWhenUsed/>
    <w:qFormat/>
    <w:rsid w:val="00F11EDA"/>
    <w:pPr>
      <w:spacing w:after="200" w:line="240" w:lineRule="auto"/>
    </w:pPr>
    <w:rPr>
      <w:b/>
      <w:bCs/>
      <w:color w:val="4F81BD" w:themeColor="accent1"/>
      <w:sz w:val="18"/>
      <w:szCs w:val="18"/>
    </w:rPr>
  </w:style>
  <w:style w:type="paragraph" w:styleId="Revision">
    <w:name w:val="Revision"/>
    <w:hidden/>
    <w:uiPriority w:val="99"/>
    <w:semiHidden/>
    <w:rsid w:val="00755B1A"/>
    <w:pPr>
      <w:jc w:val="left"/>
    </w:pPr>
    <w:rPr>
      <w:rFonts w:ascii="Arial" w:hAnsi="Arial"/>
      <w:lang w:val="en-AU"/>
    </w:rPr>
  </w:style>
  <w:style w:type="paragraph" w:styleId="TOC3">
    <w:name w:val="toc 3"/>
    <w:basedOn w:val="Normal"/>
    <w:next w:val="Normal"/>
    <w:autoRedefine/>
    <w:uiPriority w:val="39"/>
    <w:unhideWhenUsed/>
    <w:qFormat/>
    <w:rsid w:val="00241E3B"/>
    <w:pPr>
      <w:spacing w:after="100"/>
      <w:ind w:left="440"/>
    </w:pPr>
  </w:style>
  <w:style w:type="paragraph" w:styleId="DocumentMap">
    <w:name w:val="Document Map"/>
    <w:basedOn w:val="Normal"/>
    <w:link w:val="DocumentMapChar"/>
    <w:uiPriority w:val="99"/>
    <w:semiHidden/>
    <w:unhideWhenUsed/>
    <w:rsid w:val="007775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775D4"/>
    <w:rPr>
      <w:rFonts w:ascii="Tahoma" w:hAnsi="Tahoma" w:cs="Tahoma"/>
      <w:sz w:val="16"/>
      <w:szCs w:val="16"/>
      <w:lang w:val="en-AU"/>
    </w:rPr>
  </w:style>
  <w:style w:type="paragraph" w:customStyle="1" w:styleId="Default">
    <w:name w:val="Default"/>
    <w:rsid w:val="00DF01A6"/>
    <w:pPr>
      <w:autoSpaceDE w:val="0"/>
      <w:autoSpaceDN w:val="0"/>
      <w:adjustRightInd w:val="0"/>
      <w:jc w:val="left"/>
    </w:pPr>
    <w:rPr>
      <w:rFonts w:ascii="Futura Std Light" w:hAnsi="Futura Std Light" w:cs="Futura Std Light"/>
      <w:color w:val="000000"/>
      <w:sz w:val="24"/>
      <w:szCs w:val="24"/>
      <w:lang w:val="en-AU"/>
    </w:rPr>
  </w:style>
  <w:style w:type="character" w:customStyle="1" w:styleId="A9">
    <w:name w:val="A9"/>
    <w:uiPriority w:val="99"/>
    <w:rsid w:val="00DF01A6"/>
    <w:rPr>
      <w:rFonts w:ascii="Symbol" w:hAnsi="Symbol" w:cs="Symbol"/>
      <w:color w:val="221E1F"/>
    </w:rPr>
  </w:style>
  <w:style w:type="paragraph" w:styleId="FootnoteText">
    <w:name w:val="footnote text"/>
    <w:basedOn w:val="Normal"/>
    <w:link w:val="FootnoteTextChar"/>
    <w:uiPriority w:val="99"/>
    <w:semiHidden/>
    <w:unhideWhenUsed/>
    <w:rsid w:val="006D182D"/>
    <w:pPr>
      <w:spacing w:line="240" w:lineRule="auto"/>
    </w:pPr>
    <w:rPr>
      <w:sz w:val="20"/>
      <w:szCs w:val="20"/>
    </w:rPr>
  </w:style>
  <w:style w:type="character" w:customStyle="1" w:styleId="FootnoteTextChar">
    <w:name w:val="Footnote Text Char"/>
    <w:basedOn w:val="DefaultParagraphFont"/>
    <w:link w:val="FootnoteText"/>
    <w:uiPriority w:val="99"/>
    <w:semiHidden/>
    <w:rsid w:val="006D182D"/>
    <w:rPr>
      <w:rFonts w:ascii="Arial" w:hAnsi="Arial"/>
      <w:sz w:val="20"/>
      <w:szCs w:val="20"/>
      <w:lang w:val="en-AU"/>
    </w:rPr>
  </w:style>
  <w:style w:type="character" w:styleId="FootnoteReference">
    <w:name w:val="footnote reference"/>
    <w:basedOn w:val="DefaultParagraphFont"/>
    <w:uiPriority w:val="99"/>
    <w:semiHidden/>
    <w:unhideWhenUsed/>
    <w:rsid w:val="006D182D"/>
    <w:rPr>
      <w:vertAlign w:val="superscript"/>
    </w:rPr>
  </w:style>
  <w:style w:type="table" w:styleId="MediumShading1-Accent3">
    <w:name w:val="Medium Shading 1 Accent 3"/>
    <w:basedOn w:val="TableNormal"/>
    <w:uiPriority w:val="63"/>
    <w:rsid w:val="007814E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biosecurity">
    <w:name w:val="biosecurity"/>
    <w:basedOn w:val="TableNormal"/>
    <w:uiPriority w:val="99"/>
    <w:rsid w:val="00914925"/>
    <w:pPr>
      <w:jc w:val="left"/>
    </w:pPr>
    <w:rPr>
      <w:rFonts w:ascii="Arial" w:hAnsi="Arial"/>
    </w:rPr>
    <w:tblPr>
      <w:tblStyleRowBandSize w:val="1"/>
      <w:tblInd w:w="0" w:type="dxa"/>
      <w:tblCellMar>
        <w:top w:w="0" w:type="dxa"/>
        <w:left w:w="108" w:type="dxa"/>
        <w:bottom w:w="0" w:type="dxa"/>
        <w:right w:w="108" w:type="dxa"/>
      </w:tblCellMar>
    </w:tblPr>
    <w:tblStylePr w:type="firstRow">
      <w:rPr>
        <w:color w:val="auto"/>
      </w:rPr>
      <w:tblPr/>
      <w:tcPr>
        <w:shd w:val="clear" w:color="auto" w:fill="AEC87A"/>
      </w:tcPr>
    </w:tblStylePr>
    <w:tblStylePr w:type="band2Horz">
      <w:tblPr/>
      <w:tcPr>
        <w:shd w:val="clear" w:color="auto" w:fill="F2F2F2" w:themeFill="background1" w:themeFillShade="F2"/>
      </w:tcPr>
    </w:tblStylePr>
  </w:style>
  <w:style w:type="paragraph" w:customStyle="1" w:styleId="BodyText1">
    <w:name w:val="Body Text1"/>
    <w:basedOn w:val="Normal"/>
    <w:autoRedefine/>
    <w:qFormat/>
    <w:rsid w:val="00F501B4"/>
  </w:style>
  <w:style w:type="paragraph" w:customStyle="1" w:styleId="question">
    <w:name w:val="question"/>
    <w:basedOn w:val="Normal"/>
    <w:qFormat/>
    <w:rsid w:val="0077513D"/>
    <w:pPr>
      <w:spacing w:before="240" w:after="113" w:line="280" w:lineRule="exact"/>
      <w:ind w:left="567" w:hanging="567"/>
    </w:pPr>
    <w:rPr>
      <w:rFonts w:eastAsiaTheme="minorEastAsia"/>
      <w:b/>
      <w:color w:val="000000" w:themeColor="text1"/>
      <w:sz w:val="24"/>
      <w:szCs w:val="24"/>
      <w:lang w:eastAsia="en-AU"/>
    </w:rPr>
  </w:style>
  <w:style w:type="table" w:customStyle="1" w:styleId="Style1">
    <w:name w:val="Style1"/>
    <w:basedOn w:val="TableNormal"/>
    <w:uiPriority w:val="99"/>
    <w:rsid w:val="0077513D"/>
    <w:pPr>
      <w:spacing w:before="20"/>
      <w:jc w:val="left"/>
    </w:pPr>
    <w:rPr>
      <w:rFonts w:ascii="Arial" w:eastAsiaTheme="minorEastAsia" w:hAnsi="Arial"/>
      <w:lang w:val="en-AU" w:eastAsia="en-AU"/>
    </w:rPr>
    <w:tblPr>
      <w:tblStyleRowBandSize w:val="1"/>
      <w:tblInd w:w="0" w:type="dxa"/>
      <w:tblCellMar>
        <w:top w:w="0" w:type="dxa"/>
        <w:left w:w="108" w:type="dxa"/>
        <w:bottom w:w="0" w:type="dxa"/>
        <w:right w:w="108" w:type="dxa"/>
      </w:tblCellMar>
    </w:tblPr>
    <w:tblStylePr w:type="firstRow">
      <w:tblPr/>
      <w:trPr>
        <w:cantSplit/>
        <w:tblHeader/>
      </w:trPr>
      <w:tcPr>
        <w:shd w:val="clear" w:color="auto" w:fill="FFFFFF" w:themeFill="background1"/>
      </w:tcPr>
    </w:tblStylePr>
    <w:tblStylePr w:type="band1Horz">
      <w:tblPr/>
      <w:tcPr>
        <w:shd w:val="clear" w:color="auto" w:fill="EEECE1"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324669">
      <w:bodyDiv w:val="1"/>
      <w:marLeft w:val="0"/>
      <w:marRight w:val="0"/>
      <w:marTop w:val="0"/>
      <w:marBottom w:val="0"/>
      <w:divBdr>
        <w:top w:val="none" w:sz="0" w:space="0" w:color="auto"/>
        <w:left w:val="none" w:sz="0" w:space="0" w:color="auto"/>
        <w:bottom w:val="none" w:sz="0" w:space="0" w:color="auto"/>
        <w:right w:val="none" w:sz="0" w:space="0" w:color="auto"/>
      </w:divBdr>
      <w:divsChild>
        <w:div w:id="1129130718">
          <w:marLeft w:val="0"/>
          <w:marRight w:val="0"/>
          <w:marTop w:val="0"/>
          <w:marBottom w:val="0"/>
          <w:divBdr>
            <w:top w:val="none" w:sz="0" w:space="0" w:color="auto"/>
            <w:left w:val="none" w:sz="0" w:space="0" w:color="auto"/>
            <w:bottom w:val="none" w:sz="0" w:space="0" w:color="auto"/>
            <w:right w:val="none" w:sz="0" w:space="0" w:color="auto"/>
          </w:divBdr>
          <w:divsChild>
            <w:div w:id="688456022">
              <w:marLeft w:val="0"/>
              <w:marRight w:val="0"/>
              <w:marTop w:val="0"/>
              <w:marBottom w:val="0"/>
              <w:divBdr>
                <w:top w:val="none" w:sz="0" w:space="0" w:color="auto"/>
                <w:left w:val="none" w:sz="0" w:space="0" w:color="auto"/>
                <w:bottom w:val="none" w:sz="0" w:space="0" w:color="auto"/>
                <w:right w:val="none" w:sz="0" w:space="0" w:color="auto"/>
              </w:divBdr>
              <w:divsChild>
                <w:div w:id="1564022793">
                  <w:marLeft w:val="0"/>
                  <w:marRight w:val="0"/>
                  <w:marTop w:val="0"/>
                  <w:marBottom w:val="0"/>
                  <w:divBdr>
                    <w:top w:val="none" w:sz="0" w:space="0" w:color="auto"/>
                    <w:left w:val="none" w:sz="0" w:space="0" w:color="auto"/>
                    <w:bottom w:val="none" w:sz="0" w:space="0" w:color="auto"/>
                    <w:right w:val="none" w:sz="0" w:space="0" w:color="auto"/>
                  </w:divBdr>
                  <w:divsChild>
                    <w:div w:id="11273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02016">
      <w:bodyDiv w:val="1"/>
      <w:marLeft w:val="0"/>
      <w:marRight w:val="0"/>
      <w:marTop w:val="0"/>
      <w:marBottom w:val="0"/>
      <w:divBdr>
        <w:top w:val="none" w:sz="0" w:space="0" w:color="auto"/>
        <w:left w:val="none" w:sz="0" w:space="0" w:color="auto"/>
        <w:bottom w:val="none" w:sz="0" w:space="0" w:color="auto"/>
        <w:right w:val="none" w:sz="0" w:space="0" w:color="auto"/>
      </w:divBdr>
    </w:div>
    <w:div w:id="1007253417">
      <w:bodyDiv w:val="1"/>
      <w:marLeft w:val="0"/>
      <w:marRight w:val="0"/>
      <w:marTop w:val="0"/>
      <w:marBottom w:val="0"/>
      <w:divBdr>
        <w:top w:val="none" w:sz="0" w:space="0" w:color="auto"/>
        <w:left w:val="none" w:sz="0" w:space="0" w:color="auto"/>
        <w:bottom w:val="none" w:sz="0" w:space="0" w:color="auto"/>
        <w:right w:val="none" w:sz="0" w:space="0" w:color="auto"/>
      </w:divBdr>
    </w:div>
    <w:div w:id="1259557663">
      <w:bodyDiv w:val="1"/>
      <w:marLeft w:val="0"/>
      <w:marRight w:val="0"/>
      <w:marTop w:val="0"/>
      <w:marBottom w:val="0"/>
      <w:divBdr>
        <w:top w:val="none" w:sz="0" w:space="0" w:color="auto"/>
        <w:left w:val="none" w:sz="0" w:space="0" w:color="auto"/>
        <w:bottom w:val="none" w:sz="0" w:space="0" w:color="auto"/>
        <w:right w:val="none" w:sz="0" w:space="0" w:color="auto"/>
      </w:divBdr>
    </w:div>
    <w:div w:id="1420129422">
      <w:bodyDiv w:val="1"/>
      <w:marLeft w:val="0"/>
      <w:marRight w:val="0"/>
      <w:marTop w:val="0"/>
      <w:marBottom w:val="0"/>
      <w:divBdr>
        <w:top w:val="none" w:sz="0" w:space="0" w:color="auto"/>
        <w:left w:val="none" w:sz="0" w:space="0" w:color="auto"/>
        <w:bottom w:val="none" w:sz="0" w:space="0" w:color="auto"/>
        <w:right w:val="none" w:sz="0" w:space="0" w:color="auto"/>
      </w:divBdr>
    </w:div>
    <w:div w:id="1571578004">
      <w:bodyDiv w:val="1"/>
      <w:marLeft w:val="0"/>
      <w:marRight w:val="0"/>
      <w:marTop w:val="0"/>
      <w:marBottom w:val="0"/>
      <w:divBdr>
        <w:top w:val="none" w:sz="0" w:space="0" w:color="auto"/>
        <w:left w:val="none" w:sz="0" w:space="0" w:color="auto"/>
        <w:bottom w:val="none" w:sz="0" w:space="0" w:color="auto"/>
        <w:right w:val="none" w:sz="0" w:space="0" w:color="auto"/>
      </w:divBdr>
    </w:div>
    <w:div w:id="1698122195">
      <w:bodyDiv w:val="1"/>
      <w:marLeft w:val="0"/>
      <w:marRight w:val="0"/>
      <w:marTop w:val="0"/>
      <w:marBottom w:val="0"/>
      <w:divBdr>
        <w:top w:val="none" w:sz="0" w:space="0" w:color="auto"/>
        <w:left w:val="none" w:sz="0" w:space="0" w:color="auto"/>
        <w:bottom w:val="none" w:sz="0" w:space="0" w:color="auto"/>
        <w:right w:val="none" w:sz="0" w:space="0" w:color="auto"/>
      </w:divBdr>
    </w:div>
    <w:div w:id="1783646415">
      <w:bodyDiv w:val="1"/>
      <w:marLeft w:val="0"/>
      <w:marRight w:val="0"/>
      <w:marTop w:val="0"/>
      <w:marBottom w:val="0"/>
      <w:divBdr>
        <w:top w:val="none" w:sz="0" w:space="0" w:color="auto"/>
        <w:left w:val="none" w:sz="0" w:space="0" w:color="auto"/>
        <w:bottom w:val="none" w:sz="0" w:space="0" w:color="auto"/>
        <w:right w:val="none" w:sz="0" w:space="0" w:color="auto"/>
      </w:divBdr>
      <w:divsChild>
        <w:div w:id="1865744589">
          <w:marLeft w:val="0"/>
          <w:marRight w:val="0"/>
          <w:marTop w:val="0"/>
          <w:marBottom w:val="0"/>
          <w:divBdr>
            <w:top w:val="none" w:sz="0" w:space="0" w:color="auto"/>
            <w:left w:val="none" w:sz="0" w:space="0" w:color="auto"/>
            <w:bottom w:val="none" w:sz="0" w:space="0" w:color="auto"/>
            <w:right w:val="none" w:sz="0" w:space="0" w:color="auto"/>
          </w:divBdr>
        </w:div>
        <w:div w:id="1312828513">
          <w:marLeft w:val="0"/>
          <w:marRight w:val="0"/>
          <w:marTop w:val="0"/>
          <w:marBottom w:val="0"/>
          <w:divBdr>
            <w:top w:val="none" w:sz="0" w:space="0" w:color="auto"/>
            <w:left w:val="none" w:sz="0" w:space="0" w:color="auto"/>
            <w:bottom w:val="none" w:sz="0" w:space="0" w:color="auto"/>
            <w:right w:val="none" w:sz="0" w:space="0" w:color="auto"/>
          </w:divBdr>
        </w:div>
        <w:div w:id="595330958">
          <w:marLeft w:val="0"/>
          <w:marRight w:val="0"/>
          <w:marTop w:val="0"/>
          <w:marBottom w:val="0"/>
          <w:divBdr>
            <w:top w:val="none" w:sz="0" w:space="0" w:color="auto"/>
            <w:left w:val="none" w:sz="0" w:space="0" w:color="auto"/>
            <w:bottom w:val="none" w:sz="0" w:space="0" w:color="auto"/>
            <w:right w:val="none" w:sz="0" w:space="0" w:color="auto"/>
          </w:divBdr>
        </w:div>
      </w:divsChild>
    </w:div>
    <w:div w:id="1970092174">
      <w:bodyDiv w:val="1"/>
      <w:marLeft w:val="0"/>
      <w:marRight w:val="0"/>
      <w:marTop w:val="0"/>
      <w:marBottom w:val="0"/>
      <w:divBdr>
        <w:top w:val="none" w:sz="0" w:space="0" w:color="auto"/>
        <w:left w:val="none" w:sz="0" w:space="0" w:color="auto"/>
        <w:bottom w:val="none" w:sz="0" w:space="0" w:color="auto"/>
        <w:right w:val="none" w:sz="0" w:space="0" w:color="auto"/>
      </w:divBdr>
    </w:div>
    <w:div w:id="2087607270">
      <w:bodyDiv w:val="1"/>
      <w:marLeft w:val="0"/>
      <w:marRight w:val="0"/>
      <w:marTop w:val="0"/>
      <w:marBottom w:val="0"/>
      <w:divBdr>
        <w:top w:val="none" w:sz="0" w:space="0" w:color="auto"/>
        <w:left w:val="none" w:sz="0" w:space="0" w:color="auto"/>
        <w:bottom w:val="none" w:sz="0" w:space="0" w:color="auto"/>
        <w:right w:val="none" w:sz="0" w:space="0" w:color="auto"/>
      </w:divBdr>
    </w:div>
    <w:div w:id="21287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header" Target="header8.xml" Id="rId26" /><Relationship Type="http://schemas.openxmlformats.org/officeDocument/2006/relationships/numbering" Target="numbering.xml" Id="rId3" /><Relationship Type="http://schemas.openxmlformats.org/officeDocument/2006/relationships/chart" Target="charts/chart4.xml" Id="rId21"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header" Target="header3.xml" Id="rId17" /><Relationship Type="http://schemas.openxmlformats.org/officeDocument/2006/relationships/footer" Target="footer4.xml" Id="rId25" /><Relationship Type="http://schemas.openxmlformats.org/officeDocument/2006/relationships/customXml" Target="../customXml/item2.xml" Id="rId2" /><Relationship Type="http://schemas.openxmlformats.org/officeDocument/2006/relationships/chart" Target="charts/chart3.xml" Id="rId16" /><Relationship Type="http://schemas.openxmlformats.org/officeDocument/2006/relationships/footer" Target="footer3.xml" Id="rId20" /><Relationship Type="http://schemas.openxmlformats.org/officeDocument/2006/relationships/header" Target="header10.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header" Target="header7.xml" Id="rId24" /><Relationship Type="http://schemas.microsoft.com/office/2007/relationships/stylesWithEffects" Target="stylesWithEffects.xml" Id="rId5" /><Relationship Type="http://schemas.openxmlformats.org/officeDocument/2006/relationships/chart" Target="charts/chart2.xml" Id="rId15" /><Relationship Type="http://schemas.openxmlformats.org/officeDocument/2006/relationships/header" Target="header6.xml" Id="rId23" /><Relationship Type="http://schemas.openxmlformats.org/officeDocument/2006/relationships/footer" Target="footer5.xml" Id="rId28" /><Relationship Type="http://schemas.openxmlformats.org/officeDocument/2006/relationships/footer" Target="footer1.xml" Id="rId10" /><Relationship Type="http://schemas.openxmlformats.org/officeDocument/2006/relationships/header" Target="header5.xml" Id="rId19" /><Relationship Type="http://schemas.openxmlformats.org/officeDocument/2006/relationships/theme" Target="theme/theme1.xml" Id="rId31"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chart" Target="charts/chart1.xml" Id="rId14" /><Relationship Type="http://schemas.openxmlformats.org/officeDocument/2006/relationships/chart" Target="charts/chart5.xml" Id="rId22" /><Relationship Type="http://schemas.openxmlformats.org/officeDocument/2006/relationships/header" Target="header9.xml" Id="rId27" /><Relationship Type="http://schemas.openxmlformats.org/officeDocument/2006/relationships/fontTable" Target="fontTable.xml" Id="rId30" /><Relationship Type="http://schemas.openxmlformats.org/officeDocument/2006/relationships/customXml" Target="/customXML/item3.xml" Id="R264f8b4fcd7c45e5"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E:\WABC%20deomgraphic%20BiosEssential.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theath\Desktop\WEEKEND\WABC\WABC%20online%20survey%20results\WABC%20online%20survey%20issu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Graphs!$B$1</c:f>
              <c:strCache>
                <c:ptCount val="1"/>
                <c:pt idx="0">
                  <c:v>Agriculture</c:v>
                </c:pt>
              </c:strCache>
            </c:strRef>
          </c:tx>
          <c:invertIfNegative val="0"/>
          <c:dLbls>
            <c:dLbl>
              <c:idx val="0"/>
              <c:tx>
                <c:rich>
                  <a:bodyPr/>
                  <a:lstStyle/>
                  <a:p>
                    <a:r>
                      <a:rPr lang="en-US">
                        <a:solidFill>
                          <a:schemeClr val="bg1"/>
                        </a:solidFill>
                      </a:rPr>
                      <a:t>70%</a:t>
                    </a:r>
                    <a:endParaRPr lang="en-US"/>
                  </a:p>
                </c:rich>
              </c:tx>
              <c:dLblPos val="ctr"/>
              <c:showLegendKey val="0"/>
              <c:showVal val="1"/>
              <c:showCatName val="0"/>
              <c:showSerName val="0"/>
              <c:showPercent val="0"/>
              <c:showBubbleSize val="0"/>
            </c:dLbl>
            <c:dLbl>
              <c:idx val="1"/>
              <c:tx>
                <c:rich>
                  <a:bodyPr/>
                  <a:lstStyle/>
                  <a:p>
                    <a:r>
                      <a:rPr lang="en-US">
                        <a:solidFill>
                          <a:schemeClr val="bg1"/>
                        </a:solidFill>
                      </a:rPr>
                      <a:t>81%</a:t>
                    </a:r>
                    <a:endParaRPr lang="en-US"/>
                  </a:p>
                </c:rich>
              </c:tx>
              <c:dLblPos val="ctr"/>
              <c:showLegendKey val="0"/>
              <c:showVal val="1"/>
              <c:showCatName val="0"/>
              <c:showSerName val="0"/>
              <c:showPercent val="0"/>
              <c:showBubbleSize val="0"/>
            </c:dLbl>
            <c:txPr>
              <a:bodyPr/>
              <a:lstStyle/>
              <a:p>
                <a:pPr>
                  <a:defRPr>
                    <a:solidFill>
                      <a:schemeClr val="bg1"/>
                    </a:solidFill>
                  </a:defRPr>
                </a:pPr>
                <a:endParaRPr lang="en-US"/>
              </a:p>
            </c:txPr>
            <c:dLblPos val="ctr"/>
            <c:showLegendKey val="0"/>
            <c:showVal val="1"/>
            <c:showCatName val="0"/>
            <c:showSerName val="0"/>
            <c:showPercent val="0"/>
            <c:showBubbleSize val="0"/>
            <c:showLeaderLines val="0"/>
          </c:dLbls>
          <c:cat>
            <c:strRef>
              <c:f>Graphs!$A$2:$A$4</c:f>
              <c:strCache>
                <c:ptCount val="3"/>
                <c:pt idx="0">
                  <c:v>Industry</c:v>
                </c:pt>
                <c:pt idx="1">
                  <c:v>Government</c:v>
                </c:pt>
                <c:pt idx="2">
                  <c:v>Community</c:v>
                </c:pt>
              </c:strCache>
            </c:strRef>
          </c:cat>
          <c:val>
            <c:numRef>
              <c:f>Graphs!$B$2:$B$4</c:f>
              <c:numCache>
                <c:formatCode>General</c:formatCode>
                <c:ptCount val="3"/>
                <c:pt idx="0" formatCode="###0">
                  <c:v>83</c:v>
                </c:pt>
                <c:pt idx="1">
                  <c:v>70</c:v>
                </c:pt>
              </c:numCache>
            </c:numRef>
          </c:val>
        </c:ser>
        <c:ser>
          <c:idx val="1"/>
          <c:order val="1"/>
          <c:tx>
            <c:strRef>
              <c:f>Graphs!$C$1</c:f>
              <c:strCache>
                <c:ptCount val="1"/>
                <c:pt idx="0">
                  <c:v>Horticulture</c:v>
                </c:pt>
              </c:strCache>
            </c:strRef>
          </c:tx>
          <c:invertIfNegative val="0"/>
          <c:dLbls>
            <c:dLbl>
              <c:idx val="0"/>
              <c:tx>
                <c:rich>
                  <a:bodyPr/>
                  <a:lstStyle/>
                  <a:p>
                    <a:r>
                      <a:rPr lang="en-US">
                        <a:solidFill>
                          <a:schemeClr val="bg1"/>
                        </a:solidFill>
                      </a:rPr>
                      <a:t>10%</a:t>
                    </a:r>
                    <a:endParaRPr lang="en-US"/>
                  </a:p>
                </c:rich>
              </c:tx>
              <c:dLblPos val="ctr"/>
              <c:showLegendKey val="0"/>
              <c:showVal val="1"/>
              <c:showCatName val="0"/>
              <c:showSerName val="0"/>
              <c:showPercent val="0"/>
              <c:showBubbleSize val="0"/>
            </c:dLbl>
            <c:txPr>
              <a:bodyPr/>
              <a:lstStyle/>
              <a:p>
                <a:pPr>
                  <a:defRPr>
                    <a:solidFill>
                      <a:schemeClr val="bg1"/>
                    </a:solidFill>
                  </a:defRPr>
                </a:pPr>
                <a:endParaRPr lang="en-US"/>
              </a:p>
            </c:txPr>
            <c:dLblPos val="ctr"/>
            <c:showLegendKey val="0"/>
            <c:showVal val="1"/>
            <c:showCatName val="0"/>
            <c:showSerName val="0"/>
            <c:showPercent val="0"/>
            <c:showBubbleSize val="0"/>
            <c:showLeaderLines val="0"/>
          </c:dLbls>
          <c:cat>
            <c:strRef>
              <c:f>Graphs!$A$2:$A$4</c:f>
              <c:strCache>
                <c:ptCount val="3"/>
                <c:pt idx="0">
                  <c:v>Industry</c:v>
                </c:pt>
                <c:pt idx="1">
                  <c:v>Government</c:v>
                </c:pt>
                <c:pt idx="2">
                  <c:v>Community</c:v>
                </c:pt>
              </c:strCache>
            </c:strRef>
          </c:cat>
          <c:val>
            <c:numRef>
              <c:f>Graphs!$C$2:$C$4</c:f>
              <c:numCache>
                <c:formatCode>General</c:formatCode>
                <c:ptCount val="3"/>
                <c:pt idx="0" formatCode="###0">
                  <c:v>12</c:v>
                </c:pt>
              </c:numCache>
            </c:numRef>
          </c:val>
        </c:ser>
        <c:ser>
          <c:idx val="2"/>
          <c:order val="2"/>
          <c:tx>
            <c:strRef>
              <c:f>Graphs!$D$1</c:f>
              <c:strCache>
                <c:ptCount val="1"/>
                <c:pt idx="0">
                  <c:v>Fisheries / Aquaculture</c:v>
                </c:pt>
              </c:strCache>
            </c:strRef>
          </c:tx>
          <c:invertIfNegative val="0"/>
          <c:dLbls>
            <c:dLbl>
              <c:idx val="0"/>
              <c:tx>
                <c:rich>
                  <a:bodyPr/>
                  <a:lstStyle/>
                  <a:p>
                    <a:r>
                      <a:rPr lang="en-US">
                        <a:solidFill>
                          <a:schemeClr val="bg1"/>
                        </a:solidFill>
                      </a:rPr>
                      <a:t>8%</a:t>
                    </a:r>
                    <a:endParaRPr lang="en-US"/>
                  </a:p>
                </c:rich>
              </c:tx>
              <c:dLblPos val="ctr"/>
              <c:showLegendKey val="0"/>
              <c:showVal val="1"/>
              <c:showCatName val="0"/>
              <c:showSerName val="0"/>
              <c:showPercent val="0"/>
              <c:showBubbleSize val="0"/>
            </c:dLbl>
            <c:dLbl>
              <c:idx val="1"/>
              <c:tx>
                <c:rich>
                  <a:bodyPr/>
                  <a:lstStyle/>
                  <a:p>
                    <a:r>
                      <a:rPr lang="en-US">
                        <a:solidFill>
                          <a:schemeClr val="bg1"/>
                        </a:solidFill>
                      </a:rPr>
                      <a:t>3%</a:t>
                    </a:r>
                    <a:endParaRPr lang="en-US"/>
                  </a:p>
                </c:rich>
              </c:tx>
              <c:dLblPos val="ctr"/>
              <c:showLegendKey val="0"/>
              <c:showVal val="1"/>
              <c:showCatName val="0"/>
              <c:showSerName val="0"/>
              <c:showPercent val="0"/>
              <c:showBubbleSize val="0"/>
            </c:dLbl>
            <c:txPr>
              <a:bodyPr/>
              <a:lstStyle/>
              <a:p>
                <a:pPr>
                  <a:defRPr>
                    <a:solidFill>
                      <a:schemeClr val="bg1"/>
                    </a:solidFill>
                  </a:defRPr>
                </a:pPr>
                <a:endParaRPr lang="en-US"/>
              </a:p>
            </c:txPr>
            <c:dLblPos val="ctr"/>
            <c:showLegendKey val="0"/>
            <c:showVal val="1"/>
            <c:showCatName val="0"/>
            <c:showSerName val="0"/>
            <c:showPercent val="0"/>
            <c:showBubbleSize val="0"/>
            <c:showLeaderLines val="0"/>
          </c:dLbls>
          <c:cat>
            <c:strRef>
              <c:f>Graphs!$A$2:$A$4</c:f>
              <c:strCache>
                <c:ptCount val="3"/>
                <c:pt idx="0">
                  <c:v>Industry</c:v>
                </c:pt>
                <c:pt idx="1">
                  <c:v>Government</c:v>
                </c:pt>
                <c:pt idx="2">
                  <c:v>Community</c:v>
                </c:pt>
              </c:strCache>
            </c:strRef>
          </c:cat>
          <c:val>
            <c:numRef>
              <c:f>Graphs!$D$2:$D$4</c:f>
              <c:numCache>
                <c:formatCode>General</c:formatCode>
                <c:ptCount val="3"/>
                <c:pt idx="0" formatCode="###0">
                  <c:v>10</c:v>
                </c:pt>
                <c:pt idx="1">
                  <c:v>3</c:v>
                </c:pt>
              </c:numCache>
            </c:numRef>
          </c:val>
        </c:ser>
        <c:ser>
          <c:idx val="3"/>
          <c:order val="3"/>
          <c:tx>
            <c:strRef>
              <c:f>Graphs!$E$1</c:f>
              <c:strCache>
                <c:ptCount val="1"/>
                <c:pt idx="0">
                  <c:v>Forestry / Plantations</c:v>
                </c:pt>
              </c:strCache>
            </c:strRef>
          </c:tx>
          <c:invertIfNegative val="0"/>
          <c:dLbls>
            <c:dLbl>
              <c:idx val="0"/>
              <c:tx>
                <c:rich>
                  <a:bodyPr/>
                  <a:lstStyle/>
                  <a:p>
                    <a:r>
                      <a:rPr lang="en-US">
                        <a:solidFill>
                          <a:schemeClr val="bg1"/>
                        </a:solidFill>
                      </a:rPr>
                      <a:t>3%</a:t>
                    </a:r>
                    <a:endParaRPr lang="en-US"/>
                  </a:p>
                </c:rich>
              </c:tx>
              <c:dLblPos val="ctr"/>
              <c:showLegendKey val="0"/>
              <c:showVal val="1"/>
              <c:showCatName val="0"/>
              <c:showSerName val="0"/>
              <c:showPercent val="0"/>
              <c:showBubbleSize val="0"/>
            </c:dLbl>
            <c:txPr>
              <a:bodyPr/>
              <a:lstStyle/>
              <a:p>
                <a:pPr>
                  <a:defRPr>
                    <a:solidFill>
                      <a:schemeClr val="bg1"/>
                    </a:solidFill>
                  </a:defRPr>
                </a:pPr>
                <a:endParaRPr lang="en-US"/>
              </a:p>
            </c:txPr>
            <c:dLblPos val="ctr"/>
            <c:showLegendKey val="0"/>
            <c:showVal val="1"/>
            <c:showCatName val="0"/>
            <c:showSerName val="0"/>
            <c:showPercent val="0"/>
            <c:showBubbleSize val="0"/>
            <c:showLeaderLines val="0"/>
          </c:dLbls>
          <c:cat>
            <c:strRef>
              <c:f>Graphs!$A$2:$A$4</c:f>
              <c:strCache>
                <c:ptCount val="3"/>
                <c:pt idx="0">
                  <c:v>Industry</c:v>
                </c:pt>
                <c:pt idx="1">
                  <c:v>Government</c:v>
                </c:pt>
                <c:pt idx="2">
                  <c:v>Community</c:v>
                </c:pt>
              </c:strCache>
            </c:strRef>
          </c:cat>
          <c:val>
            <c:numRef>
              <c:f>Graphs!$E$2:$E$4</c:f>
              <c:numCache>
                <c:formatCode>General</c:formatCode>
                <c:ptCount val="3"/>
                <c:pt idx="0" formatCode="###0">
                  <c:v>4</c:v>
                </c:pt>
              </c:numCache>
            </c:numRef>
          </c:val>
        </c:ser>
        <c:ser>
          <c:idx val="4"/>
          <c:order val="4"/>
          <c:tx>
            <c:strRef>
              <c:f>Graphs!$F$1</c:f>
              <c:strCache>
                <c:ptCount val="1"/>
                <c:pt idx="0">
                  <c:v>Mining / Oil / Gas</c:v>
                </c:pt>
              </c:strCache>
            </c:strRef>
          </c:tx>
          <c:spPr>
            <a:solidFill>
              <a:schemeClr val="tx2">
                <a:lumMod val="20000"/>
                <a:lumOff val="80000"/>
              </a:schemeClr>
            </a:solidFill>
          </c:spPr>
          <c:invertIfNegative val="0"/>
          <c:dLbls>
            <c:dLbl>
              <c:idx val="0"/>
              <c:tx>
                <c:rich>
                  <a:bodyPr/>
                  <a:lstStyle/>
                  <a:p>
                    <a:r>
                      <a:rPr lang="en-US"/>
                      <a:t>3%</a:t>
                    </a:r>
                  </a:p>
                </c:rich>
              </c:tx>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Graphs!$A$2:$A$4</c:f>
              <c:strCache>
                <c:ptCount val="3"/>
                <c:pt idx="0">
                  <c:v>Industry</c:v>
                </c:pt>
                <c:pt idx="1">
                  <c:v>Government</c:v>
                </c:pt>
                <c:pt idx="2">
                  <c:v>Community</c:v>
                </c:pt>
              </c:strCache>
            </c:strRef>
          </c:cat>
          <c:val>
            <c:numRef>
              <c:f>Graphs!$F$2:$F$4</c:f>
              <c:numCache>
                <c:formatCode>General</c:formatCode>
                <c:ptCount val="3"/>
                <c:pt idx="0" formatCode="###0">
                  <c:v>4</c:v>
                </c:pt>
              </c:numCache>
            </c:numRef>
          </c:val>
        </c:ser>
        <c:ser>
          <c:idx val="5"/>
          <c:order val="5"/>
          <c:tx>
            <c:strRef>
              <c:f>Graphs!$G$1</c:f>
              <c:strCache>
                <c:ptCount val="1"/>
                <c:pt idx="0">
                  <c:v>Other</c:v>
                </c:pt>
              </c:strCache>
            </c:strRef>
          </c:tx>
          <c:invertIfNegative val="0"/>
          <c:dLbls>
            <c:dLbl>
              <c:idx val="0"/>
              <c:tx>
                <c:rich>
                  <a:bodyPr/>
                  <a:lstStyle/>
                  <a:p>
                    <a:r>
                      <a:rPr lang="en-US">
                        <a:solidFill>
                          <a:schemeClr val="bg1"/>
                        </a:solidFill>
                      </a:rPr>
                      <a:t>4%</a:t>
                    </a:r>
                    <a:endParaRPr lang="en-US"/>
                  </a:p>
                </c:rich>
              </c:tx>
              <c:dLblPos val="ctr"/>
              <c:showLegendKey val="0"/>
              <c:showVal val="1"/>
              <c:showCatName val="0"/>
              <c:showSerName val="0"/>
              <c:showPercent val="0"/>
              <c:showBubbleSize val="0"/>
            </c:dLbl>
            <c:dLbl>
              <c:idx val="1"/>
              <c:tx>
                <c:rich>
                  <a:bodyPr/>
                  <a:lstStyle/>
                  <a:p>
                    <a:r>
                      <a:rPr lang="en-US">
                        <a:solidFill>
                          <a:schemeClr val="bg1"/>
                        </a:solidFill>
                      </a:rPr>
                      <a:t>3%</a:t>
                    </a:r>
                    <a:endParaRPr lang="en-US"/>
                  </a:p>
                </c:rich>
              </c:tx>
              <c:dLblPos val="ctr"/>
              <c:showLegendKey val="0"/>
              <c:showVal val="1"/>
              <c:showCatName val="0"/>
              <c:showSerName val="0"/>
              <c:showPercent val="0"/>
              <c:showBubbleSize val="0"/>
            </c:dLbl>
            <c:dLbl>
              <c:idx val="2"/>
              <c:tx>
                <c:rich>
                  <a:bodyPr/>
                  <a:lstStyle/>
                  <a:p>
                    <a:r>
                      <a:rPr lang="en-US">
                        <a:solidFill>
                          <a:schemeClr val="bg1"/>
                        </a:solidFill>
                      </a:rPr>
                      <a:t>11%</a:t>
                    </a:r>
                    <a:endParaRPr lang="en-US"/>
                  </a:p>
                </c:rich>
              </c:tx>
              <c:dLblPos val="ctr"/>
              <c:showLegendKey val="0"/>
              <c:showVal val="1"/>
              <c:showCatName val="0"/>
              <c:showSerName val="0"/>
              <c:showPercent val="0"/>
              <c:showBubbleSize val="0"/>
            </c:dLbl>
            <c:txPr>
              <a:bodyPr/>
              <a:lstStyle/>
              <a:p>
                <a:pPr>
                  <a:defRPr>
                    <a:solidFill>
                      <a:schemeClr val="bg1"/>
                    </a:solidFill>
                  </a:defRPr>
                </a:pPr>
                <a:endParaRPr lang="en-US"/>
              </a:p>
            </c:txPr>
            <c:dLblPos val="ctr"/>
            <c:showLegendKey val="0"/>
            <c:showVal val="1"/>
            <c:showCatName val="0"/>
            <c:showSerName val="0"/>
            <c:showPercent val="0"/>
            <c:showBubbleSize val="0"/>
            <c:showLeaderLines val="0"/>
          </c:dLbls>
          <c:cat>
            <c:strRef>
              <c:f>Graphs!$A$2:$A$4</c:f>
              <c:strCache>
                <c:ptCount val="3"/>
                <c:pt idx="0">
                  <c:v>Industry</c:v>
                </c:pt>
                <c:pt idx="1">
                  <c:v>Government</c:v>
                </c:pt>
                <c:pt idx="2">
                  <c:v>Community</c:v>
                </c:pt>
              </c:strCache>
            </c:strRef>
          </c:cat>
          <c:val>
            <c:numRef>
              <c:f>Graphs!$G$2:$G$4</c:f>
              <c:numCache>
                <c:formatCode>General</c:formatCode>
                <c:ptCount val="3"/>
                <c:pt idx="0" formatCode="###0">
                  <c:v>5</c:v>
                </c:pt>
                <c:pt idx="1">
                  <c:v>3</c:v>
                </c:pt>
                <c:pt idx="2">
                  <c:v>7</c:v>
                </c:pt>
              </c:numCache>
            </c:numRef>
          </c:val>
        </c:ser>
        <c:ser>
          <c:idx val="6"/>
          <c:order val="6"/>
          <c:tx>
            <c:strRef>
              <c:f>Graphs!$H$1</c:f>
              <c:strCache>
                <c:ptCount val="1"/>
                <c:pt idx="0">
                  <c:v>Local Government</c:v>
                </c:pt>
              </c:strCache>
            </c:strRef>
          </c:tx>
          <c:spPr>
            <a:solidFill>
              <a:schemeClr val="bg2">
                <a:lumMod val="75000"/>
              </a:schemeClr>
            </a:solidFill>
          </c:spPr>
          <c:invertIfNegative val="0"/>
          <c:dLbls>
            <c:dLbl>
              <c:idx val="1"/>
              <c:tx>
                <c:rich>
                  <a:bodyPr/>
                  <a:lstStyle/>
                  <a:p>
                    <a:r>
                      <a:rPr lang="en-US"/>
                      <a:t>8%</a:t>
                    </a:r>
                  </a:p>
                </c:rich>
              </c:tx>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Graphs!$A$2:$A$4</c:f>
              <c:strCache>
                <c:ptCount val="3"/>
                <c:pt idx="0">
                  <c:v>Industry</c:v>
                </c:pt>
                <c:pt idx="1">
                  <c:v>Government</c:v>
                </c:pt>
                <c:pt idx="2">
                  <c:v>Community</c:v>
                </c:pt>
              </c:strCache>
            </c:strRef>
          </c:cat>
          <c:val>
            <c:numRef>
              <c:f>Graphs!$H$2:$H$4</c:f>
              <c:numCache>
                <c:formatCode>General</c:formatCode>
                <c:ptCount val="3"/>
                <c:pt idx="1">
                  <c:v>7</c:v>
                </c:pt>
              </c:numCache>
            </c:numRef>
          </c:val>
        </c:ser>
        <c:ser>
          <c:idx val="7"/>
          <c:order val="7"/>
          <c:tx>
            <c:strRef>
              <c:f>Graphs!$I$1</c:f>
              <c:strCache>
                <c:ptCount val="1"/>
                <c:pt idx="0">
                  <c:v>Parks &amp; Wildlife</c:v>
                </c:pt>
              </c:strCache>
            </c:strRef>
          </c:tx>
          <c:spPr>
            <a:solidFill>
              <a:schemeClr val="accent2">
                <a:lumMod val="40000"/>
                <a:lumOff val="60000"/>
              </a:schemeClr>
            </a:solidFill>
          </c:spPr>
          <c:invertIfNegative val="0"/>
          <c:dLbls>
            <c:dLbl>
              <c:idx val="1"/>
              <c:tx>
                <c:rich>
                  <a:bodyPr/>
                  <a:lstStyle/>
                  <a:p>
                    <a:r>
                      <a:rPr lang="en-US"/>
                      <a:t>2%</a:t>
                    </a:r>
                  </a:p>
                </c:rich>
              </c:tx>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Graphs!$A$2:$A$4</c:f>
              <c:strCache>
                <c:ptCount val="3"/>
                <c:pt idx="0">
                  <c:v>Industry</c:v>
                </c:pt>
                <c:pt idx="1">
                  <c:v>Government</c:v>
                </c:pt>
                <c:pt idx="2">
                  <c:v>Community</c:v>
                </c:pt>
              </c:strCache>
            </c:strRef>
          </c:cat>
          <c:val>
            <c:numRef>
              <c:f>Graphs!$I$2:$I$4</c:f>
              <c:numCache>
                <c:formatCode>General</c:formatCode>
                <c:ptCount val="3"/>
                <c:pt idx="1">
                  <c:v>2</c:v>
                </c:pt>
              </c:numCache>
            </c:numRef>
          </c:val>
        </c:ser>
        <c:ser>
          <c:idx val="8"/>
          <c:order val="8"/>
          <c:tx>
            <c:strRef>
              <c:f>Graphs!$J$1</c:f>
              <c:strCache>
                <c:ptCount val="1"/>
                <c:pt idx="0">
                  <c:v>Premier &amp; Cabinet</c:v>
                </c:pt>
              </c:strCache>
            </c:strRef>
          </c:tx>
          <c:invertIfNegative val="0"/>
          <c:dLbls>
            <c:delete val="1"/>
          </c:dLbls>
          <c:cat>
            <c:strRef>
              <c:f>Graphs!$A$2:$A$4</c:f>
              <c:strCache>
                <c:ptCount val="3"/>
                <c:pt idx="0">
                  <c:v>Industry</c:v>
                </c:pt>
                <c:pt idx="1">
                  <c:v>Government</c:v>
                </c:pt>
                <c:pt idx="2">
                  <c:v>Community</c:v>
                </c:pt>
              </c:strCache>
            </c:strRef>
          </c:cat>
          <c:val>
            <c:numRef>
              <c:f>Graphs!$J$2:$J$4</c:f>
              <c:numCache>
                <c:formatCode>General</c:formatCode>
                <c:ptCount val="3"/>
                <c:pt idx="1">
                  <c:v>1</c:v>
                </c:pt>
              </c:numCache>
            </c:numRef>
          </c:val>
        </c:ser>
        <c:ser>
          <c:idx val="9"/>
          <c:order val="9"/>
          <c:tx>
            <c:strRef>
              <c:f>Graphs!$K$1</c:f>
              <c:strCache>
                <c:ptCount val="1"/>
                <c:pt idx="0">
                  <c:v>Individual</c:v>
                </c:pt>
              </c:strCache>
            </c:strRef>
          </c:tx>
          <c:invertIfNegative val="0"/>
          <c:dLbls>
            <c:dLbl>
              <c:idx val="2"/>
              <c:tx>
                <c:rich>
                  <a:bodyPr/>
                  <a:lstStyle/>
                  <a:p>
                    <a:r>
                      <a:rPr lang="en-US">
                        <a:solidFill>
                          <a:schemeClr val="bg1"/>
                        </a:solidFill>
                      </a:rPr>
                      <a:t>58%</a:t>
                    </a:r>
                    <a:endParaRPr lang="en-US"/>
                  </a:p>
                </c:rich>
              </c:tx>
              <c:dLblPos val="ctr"/>
              <c:showLegendKey val="0"/>
              <c:showVal val="1"/>
              <c:showCatName val="0"/>
              <c:showSerName val="0"/>
              <c:showPercent val="0"/>
              <c:showBubbleSize val="0"/>
            </c:dLbl>
            <c:txPr>
              <a:bodyPr/>
              <a:lstStyle/>
              <a:p>
                <a:pPr>
                  <a:defRPr>
                    <a:solidFill>
                      <a:schemeClr val="bg1"/>
                    </a:solidFill>
                  </a:defRPr>
                </a:pPr>
                <a:endParaRPr lang="en-US"/>
              </a:p>
            </c:txPr>
            <c:dLblPos val="ctr"/>
            <c:showLegendKey val="0"/>
            <c:showVal val="1"/>
            <c:showCatName val="0"/>
            <c:showSerName val="0"/>
            <c:showPercent val="0"/>
            <c:showBubbleSize val="0"/>
            <c:showLeaderLines val="0"/>
          </c:dLbls>
          <c:cat>
            <c:strRef>
              <c:f>Graphs!$A$2:$A$4</c:f>
              <c:strCache>
                <c:ptCount val="3"/>
                <c:pt idx="0">
                  <c:v>Industry</c:v>
                </c:pt>
                <c:pt idx="1">
                  <c:v>Government</c:v>
                </c:pt>
                <c:pt idx="2">
                  <c:v>Community</c:v>
                </c:pt>
              </c:strCache>
            </c:strRef>
          </c:cat>
          <c:val>
            <c:numRef>
              <c:f>Graphs!$K$2:$K$4</c:f>
              <c:numCache>
                <c:formatCode>General</c:formatCode>
                <c:ptCount val="3"/>
                <c:pt idx="2">
                  <c:v>36</c:v>
                </c:pt>
              </c:numCache>
            </c:numRef>
          </c:val>
        </c:ser>
        <c:ser>
          <c:idx val="10"/>
          <c:order val="10"/>
          <c:tx>
            <c:strRef>
              <c:f>Graphs!$L$1</c:f>
              <c:strCache>
                <c:ptCount val="1"/>
                <c:pt idx="0">
                  <c:v>NRM Organisations</c:v>
                </c:pt>
              </c:strCache>
            </c:strRef>
          </c:tx>
          <c:invertIfNegative val="0"/>
          <c:dLbls>
            <c:dLbl>
              <c:idx val="2"/>
              <c:tx>
                <c:rich>
                  <a:bodyPr/>
                  <a:lstStyle/>
                  <a:p>
                    <a:r>
                      <a:rPr lang="en-US">
                        <a:solidFill>
                          <a:schemeClr val="bg1"/>
                        </a:solidFill>
                      </a:rPr>
                      <a:t>29%</a:t>
                    </a:r>
                    <a:endParaRPr lang="en-US"/>
                  </a:p>
                </c:rich>
              </c:tx>
              <c:dLblPos val="ctr"/>
              <c:showLegendKey val="0"/>
              <c:showVal val="1"/>
              <c:showCatName val="0"/>
              <c:showSerName val="0"/>
              <c:showPercent val="0"/>
              <c:showBubbleSize val="0"/>
            </c:dLbl>
            <c:txPr>
              <a:bodyPr/>
              <a:lstStyle/>
              <a:p>
                <a:pPr>
                  <a:defRPr>
                    <a:solidFill>
                      <a:schemeClr val="bg1"/>
                    </a:solidFill>
                  </a:defRPr>
                </a:pPr>
                <a:endParaRPr lang="en-US"/>
              </a:p>
            </c:txPr>
            <c:dLblPos val="ctr"/>
            <c:showLegendKey val="0"/>
            <c:showVal val="1"/>
            <c:showCatName val="0"/>
            <c:showSerName val="0"/>
            <c:showPercent val="0"/>
            <c:showBubbleSize val="0"/>
            <c:showLeaderLines val="0"/>
          </c:dLbls>
          <c:cat>
            <c:strRef>
              <c:f>Graphs!$A$2:$A$4</c:f>
              <c:strCache>
                <c:ptCount val="3"/>
                <c:pt idx="0">
                  <c:v>Industry</c:v>
                </c:pt>
                <c:pt idx="1">
                  <c:v>Government</c:v>
                </c:pt>
                <c:pt idx="2">
                  <c:v>Community</c:v>
                </c:pt>
              </c:strCache>
            </c:strRef>
          </c:cat>
          <c:val>
            <c:numRef>
              <c:f>Graphs!$L$2:$L$4</c:f>
              <c:numCache>
                <c:formatCode>General</c:formatCode>
                <c:ptCount val="3"/>
                <c:pt idx="2">
                  <c:v>18</c:v>
                </c:pt>
              </c:numCache>
            </c:numRef>
          </c:val>
        </c:ser>
        <c:ser>
          <c:idx val="11"/>
          <c:order val="11"/>
          <c:tx>
            <c:strRef>
              <c:f>Graphs!$M$1</c:f>
              <c:strCache>
                <c:ptCount val="1"/>
                <c:pt idx="0">
                  <c:v>RBG</c:v>
                </c:pt>
              </c:strCache>
            </c:strRef>
          </c:tx>
          <c:spPr>
            <a:solidFill>
              <a:srgbClr val="FFC000"/>
            </a:solidFill>
          </c:spPr>
          <c:invertIfNegative val="0"/>
          <c:dLbls>
            <c:dLbl>
              <c:idx val="2"/>
              <c:tx>
                <c:rich>
                  <a:bodyPr/>
                  <a:lstStyle/>
                  <a:p>
                    <a:r>
                      <a:rPr lang="en-US"/>
                      <a:t>2%</a:t>
                    </a:r>
                  </a:p>
                </c:rich>
              </c:tx>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Graphs!$A$2:$A$4</c:f>
              <c:strCache>
                <c:ptCount val="3"/>
                <c:pt idx="0">
                  <c:v>Industry</c:v>
                </c:pt>
                <c:pt idx="1">
                  <c:v>Government</c:v>
                </c:pt>
                <c:pt idx="2">
                  <c:v>Community</c:v>
                </c:pt>
              </c:strCache>
            </c:strRef>
          </c:cat>
          <c:val>
            <c:numRef>
              <c:f>Graphs!$M$2:$M$4</c:f>
              <c:numCache>
                <c:formatCode>General</c:formatCode>
                <c:ptCount val="3"/>
                <c:pt idx="2">
                  <c:v>1</c:v>
                </c:pt>
              </c:numCache>
            </c:numRef>
          </c:val>
        </c:ser>
        <c:dLbls>
          <c:showLegendKey val="0"/>
          <c:showVal val="1"/>
          <c:showCatName val="0"/>
          <c:showSerName val="0"/>
          <c:showPercent val="0"/>
          <c:showBubbleSize val="0"/>
        </c:dLbls>
        <c:gapWidth val="150"/>
        <c:overlap val="100"/>
        <c:axId val="174727552"/>
        <c:axId val="174729088"/>
      </c:barChart>
      <c:catAx>
        <c:axId val="174727552"/>
        <c:scaling>
          <c:orientation val="minMax"/>
        </c:scaling>
        <c:delete val="0"/>
        <c:axPos val="b"/>
        <c:majorTickMark val="out"/>
        <c:minorTickMark val="none"/>
        <c:tickLblPos val="nextTo"/>
        <c:txPr>
          <a:bodyPr/>
          <a:lstStyle/>
          <a:p>
            <a:pPr>
              <a:defRPr sz="1100"/>
            </a:pPr>
            <a:endParaRPr lang="en-US"/>
          </a:p>
        </c:txPr>
        <c:crossAx val="174729088"/>
        <c:crosses val="autoZero"/>
        <c:auto val="1"/>
        <c:lblAlgn val="ctr"/>
        <c:lblOffset val="100"/>
        <c:noMultiLvlLbl val="0"/>
      </c:catAx>
      <c:valAx>
        <c:axId val="174729088"/>
        <c:scaling>
          <c:orientation val="minMax"/>
          <c:max val="130"/>
          <c:min val="0"/>
        </c:scaling>
        <c:delete val="0"/>
        <c:axPos val="l"/>
        <c:majorGridlines/>
        <c:title>
          <c:tx>
            <c:rich>
              <a:bodyPr rot="-5400000" vert="horz"/>
              <a:lstStyle/>
              <a:p>
                <a:pPr>
                  <a:defRPr sz="1200"/>
                </a:pPr>
                <a:r>
                  <a:rPr lang="en-US" sz="1200"/>
                  <a:t>Number of responses</a:t>
                </a:r>
              </a:p>
            </c:rich>
          </c:tx>
          <c:overlay val="0"/>
        </c:title>
        <c:numFmt formatCode="###0" sourceLinked="1"/>
        <c:majorTickMark val="out"/>
        <c:minorTickMark val="none"/>
        <c:tickLblPos val="nextTo"/>
        <c:txPr>
          <a:bodyPr/>
          <a:lstStyle/>
          <a:p>
            <a:pPr>
              <a:defRPr sz="1100"/>
            </a:pPr>
            <a:endParaRPr lang="en-US"/>
          </a:p>
        </c:txPr>
        <c:crossAx val="174727552"/>
        <c:crosses val="autoZero"/>
        <c:crossBetween val="between"/>
      </c:valAx>
    </c:plotArea>
    <c:legend>
      <c:legendPos val="r"/>
      <c:overlay val="0"/>
      <c:txPr>
        <a:bodyPr/>
        <a:lstStyle/>
        <a:p>
          <a:pPr>
            <a:defRPr sz="1100"/>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413199142521654"/>
          <c:y val="4.50668516420605E-2"/>
          <c:w val="0.83074904098526159"/>
          <c:h val="0.6017526376516168"/>
        </c:manualLayout>
      </c:layout>
      <c:barChart>
        <c:barDir val="col"/>
        <c:grouping val="clustered"/>
        <c:varyColors val="0"/>
        <c:ser>
          <c:idx val="3"/>
          <c:order val="3"/>
          <c:tx>
            <c:v>Total</c:v>
          </c:tx>
          <c:spPr>
            <a:solidFill>
              <a:sysClr val="window" lastClr="FFFFFF">
                <a:lumMod val="85000"/>
              </a:sysClr>
            </a:solidFill>
          </c:spPr>
          <c:invertIfNegative val="0"/>
          <c:val>
            <c:numRef>
              <c:f>Graphs!$B$40:$B$48</c:f>
              <c:numCache>
                <c:formatCode>0%</c:formatCode>
                <c:ptCount val="9"/>
                <c:pt idx="0">
                  <c:v>0.26124567474048399</c:v>
                </c:pt>
                <c:pt idx="1">
                  <c:v>0.23183391003460199</c:v>
                </c:pt>
                <c:pt idx="2">
                  <c:v>0.18512110726643599</c:v>
                </c:pt>
                <c:pt idx="3">
                  <c:v>0.13840830449826999</c:v>
                </c:pt>
                <c:pt idx="4">
                  <c:v>7.0934256055363396E-2</c:v>
                </c:pt>
                <c:pt idx="5">
                  <c:v>5.1903114186851201E-2</c:v>
                </c:pt>
                <c:pt idx="6">
                  <c:v>2.7681660899654001E-2</c:v>
                </c:pt>
                <c:pt idx="7">
                  <c:v>1.5570934256055401E-2</c:v>
                </c:pt>
                <c:pt idx="8">
                  <c:v>1.73010380622837E-2</c:v>
                </c:pt>
              </c:numCache>
            </c:numRef>
          </c:val>
        </c:ser>
        <c:dLbls>
          <c:showLegendKey val="0"/>
          <c:showVal val="0"/>
          <c:showCatName val="0"/>
          <c:showSerName val="0"/>
          <c:showPercent val="0"/>
          <c:showBubbleSize val="0"/>
        </c:dLbls>
        <c:gapWidth val="150"/>
        <c:axId val="176444160"/>
        <c:axId val="176446080"/>
      </c:barChart>
      <c:lineChart>
        <c:grouping val="standard"/>
        <c:varyColors val="0"/>
        <c:ser>
          <c:idx val="0"/>
          <c:order val="0"/>
          <c:tx>
            <c:strRef>
              <c:f>Graphs!$C$39</c:f>
              <c:strCache>
                <c:ptCount val="1"/>
                <c:pt idx="0">
                  <c:v>Industry</c:v>
                </c:pt>
              </c:strCache>
            </c:strRef>
          </c:tx>
          <c:marker>
            <c:symbol val="none"/>
          </c:marker>
          <c:cat>
            <c:strRef>
              <c:f>Graphs!$A$40:$A$48</c:f>
              <c:strCache>
                <c:ptCount val="9"/>
                <c:pt idx="0">
                  <c:v>Industry viability</c:v>
                </c:pt>
                <c:pt idx="1">
                  <c:v>Biodiversity</c:v>
                </c:pt>
                <c:pt idx="2">
                  <c:v>Healthy ecosystems</c:v>
                </c:pt>
                <c:pt idx="3">
                  <c:v>Access to markets</c:v>
                </c:pt>
                <c:pt idx="4">
                  <c:v>Food safety</c:v>
                </c:pt>
                <c:pt idx="5">
                  <c:v>Clean and green' image</c:v>
                </c:pt>
                <c:pt idx="6">
                  <c:v>Public health</c:v>
                </c:pt>
                <c:pt idx="7">
                  <c:v>Social amenity</c:v>
                </c:pt>
                <c:pt idx="8">
                  <c:v>Other</c:v>
                </c:pt>
              </c:strCache>
            </c:strRef>
          </c:cat>
          <c:val>
            <c:numRef>
              <c:f>Graphs!$C$40:$C$48</c:f>
              <c:numCache>
                <c:formatCode>0%</c:formatCode>
                <c:ptCount val="9"/>
                <c:pt idx="0">
                  <c:v>0.33474576271186501</c:v>
                </c:pt>
                <c:pt idx="1">
                  <c:v>0.169491525423729</c:v>
                </c:pt>
                <c:pt idx="2">
                  <c:v>0.105932203389831</c:v>
                </c:pt>
                <c:pt idx="3">
                  <c:v>0.16525423728813601</c:v>
                </c:pt>
                <c:pt idx="4">
                  <c:v>8.8983050847457598E-2</c:v>
                </c:pt>
                <c:pt idx="5">
                  <c:v>6.7796610169491595E-2</c:v>
                </c:pt>
                <c:pt idx="6">
                  <c:v>2.5423728813559299E-2</c:v>
                </c:pt>
                <c:pt idx="7">
                  <c:v>1.27118644067797E-2</c:v>
                </c:pt>
                <c:pt idx="8">
                  <c:v>2.9661016949152502E-2</c:v>
                </c:pt>
              </c:numCache>
            </c:numRef>
          </c:val>
          <c:smooth val="0"/>
        </c:ser>
        <c:ser>
          <c:idx val="1"/>
          <c:order val="1"/>
          <c:tx>
            <c:strRef>
              <c:f>Graphs!$D$39</c:f>
              <c:strCache>
                <c:ptCount val="1"/>
                <c:pt idx="0">
                  <c:v>Government</c:v>
                </c:pt>
              </c:strCache>
            </c:strRef>
          </c:tx>
          <c:marker>
            <c:symbol val="none"/>
          </c:marker>
          <c:cat>
            <c:strRef>
              <c:f>Graphs!$A$40:$A$48</c:f>
              <c:strCache>
                <c:ptCount val="9"/>
                <c:pt idx="0">
                  <c:v>Industry viability</c:v>
                </c:pt>
                <c:pt idx="1">
                  <c:v>Biodiversity</c:v>
                </c:pt>
                <c:pt idx="2">
                  <c:v>Healthy ecosystems</c:v>
                </c:pt>
                <c:pt idx="3">
                  <c:v>Access to markets</c:v>
                </c:pt>
                <c:pt idx="4">
                  <c:v>Food safety</c:v>
                </c:pt>
                <c:pt idx="5">
                  <c:v>Clean and green' image</c:v>
                </c:pt>
                <c:pt idx="6">
                  <c:v>Public health</c:v>
                </c:pt>
                <c:pt idx="7">
                  <c:v>Social amenity</c:v>
                </c:pt>
                <c:pt idx="8">
                  <c:v>Other</c:v>
                </c:pt>
              </c:strCache>
            </c:strRef>
          </c:cat>
          <c:val>
            <c:numRef>
              <c:f>Graphs!$D$40:$D$48</c:f>
              <c:numCache>
                <c:formatCode>0%</c:formatCode>
                <c:ptCount val="9"/>
                <c:pt idx="0">
                  <c:v>0.28488372093023301</c:v>
                </c:pt>
                <c:pt idx="1">
                  <c:v>0.209302325581396</c:v>
                </c:pt>
                <c:pt idx="2">
                  <c:v>0.104651162790698</c:v>
                </c:pt>
                <c:pt idx="3">
                  <c:v>0.20348837209302301</c:v>
                </c:pt>
                <c:pt idx="4">
                  <c:v>8.1395348837209405E-2</c:v>
                </c:pt>
                <c:pt idx="5">
                  <c:v>5.2325581395348902E-2</c:v>
                </c:pt>
                <c:pt idx="6">
                  <c:v>2.9069767441860499E-2</c:v>
                </c:pt>
                <c:pt idx="7">
                  <c:v>2.9069767441860499E-2</c:v>
                </c:pt>
                <c:pt idx="8">
                  <c:v>4.0697674418604703E-2</c:v>
                </c:pt>
              </c:numCache>
            </c:numRef>
          </c:val>
          <c:smooth val="0"/>
        </c:ser>
        <c:ser>
          <c:idx val="2"/>
          <c:order val="2"/>
          <c:tx>
            <c:strRef>
              <c:f>Graphs!$E$39</c:f>
              <c:strCache>
                <c:ptCount val="1"/>
                <c:pt idx="0">
                  <c:v>Community</c:v>
                </c:pt>
              </c:strCache>
            </c:strRef>
          </c:tx>
          <c:marker>
            <c:symbol val="none"/>
          </c:marker>
          <c:cat>
            <c:strRef>
              <c:f>Graphs!$A$40:$A$48</c:f>
              <c:strCache>
                <c:ptCount val="9"/>
                <c:pt idx="0">
                  <c:v>Industry viability</c:v>
                </c:pt>
                <c:pt idx="1">
                  <c:v>Biodiversity</c:v>
                </c:pt>
                <c:pt idx="2">
                  <c:v>Healthy ecosystems</c:v>
                </c:pt>
                <c:pt idx="3">
                  <c:v>Access to markets</c:v>
                </c:pt>
                <c:pt idx="4">
                  <c:v>Food safety</c:v>
                </c:pt>
                <c:pt idx="5">
                  <c:v>Clean and green' image</c:v>
                </c:pt>
                <c:pt idx="6">
                  <c:v>Public health</c:v>
                </c:pt>
                <c:pt idx="7">
                  <c:v>Social amenity</c:v>
                </c:pt>
                <c:pt idx="8">
                  <c:v>Other</c:v>
                </c:pt>
              </c:strCache>
            </c:strRef>
          </c:cat>
          <c:val>
            <c:numRef>
              <c:f>Graphs!$E$40:$E$48</c:f>
              <c:numCache>
                <c:formatCode>0%</c:formatCode>
                <c:ptCount val="9"/>
                <c:pt idx="0">
                  <c:v>0.14516129032258099</c:v>
                </c:pt>
                <c:pt idx="1">
                  <c:v>0.33064516129032301</c:v>
                </c:pt>
                <c:pt idx="2">
                  <c:v>0.38709677419354899</c:v>
                </c:pt>
                <c:pt idx="3">
                  <c:v>3.2258064516128997E-2</c:v>
                </c:pt>
                <c:pt idx="4">
                  <c:v>4.8387096774193603E-2</c:v>
                </c:pt>
                <c:pt idx="5">
                  <c:v>2.4193548387096801E-2</c:v>
                </c:pt>
                <c:pt idx="6">
                  <c:v>3.2258064516128997E-2</c:v>
                </c:pt>
                <c:pt idx="7">
                  <c:v>0</c:v>
                </c:pt>
                <c:pt idx="8">
                  <c:v>0</c:v>
                </c:pt>
              </c:numCache>
            </c:numRef>
          </c:val>
          <c:smooth val="0"/>
        </c:ser>
        <c:dLbls>
          <c:showLegendKey val="0"/>
          <c:showVal val="0"/>
          <c:showCatName val="0"/>
          <c:showSerName val="0"/>
          <c:showPercent val="0"/>
          <c:showBubbleSize val="0"/>
        </c:dLbls>
        <c:marker val="1"/>
        <c:smooth val="0"/>
        <c:axId val="176444160"/>
        <c:axId val="176446080"/>
      </c:lineChart>
      <c:catAx>
        <c:axId val="176444160"/>
        <c:scaling>
          <c:orientation val="minMax"/>
        </c:scaling>
        <c:delete val="0"/>
        <c:axPos val="b"/>
        <c:title>
          <c:tx>
            <c:rich>
              <a:bodyPr/>
              <a:lstStyle/>
              <a:p>
                <a:pPr>
                  <a:defRPr sz="1200">
                    <a:solidFill>
                      <a:schemeClr val="tx1"/>
                    </a:solidFill>
                  </a:defRPr>
                </a:pPr>
                <a:r>
                  <a:rPr lang="en-AU" sz="1200">
                    <a:solidFill>
                      <a:schemeClr val="tx1"/>
                    </a:solidFill>
                  </a:rPr>
                  <a:t>Reason for effective biosecurity</a:t>
                </a:r>
              </a:p>
            </c:rich>
          </c:tx>
          <c:overlay val="0"/>
        </c:title>
        <c:majorTickMark val="out"/>
        <c:minorTickMark val="none"/>
        <c:tickLblPos val="nextTo"/>
        <c:txPr>
          <a:bodyPr rot="-1500000"/>
          <a:lstStyle/>
          <a:p>
            <a:pPr>
              <a:defRPr/>
            </a:pPr>
            <a:endParaRPr lang="en-US"/>
          </a:p>
        </c:txPr>
        <c:crossAx val="176446080"/>
        <c:crosses val="autoZero"/>
        <c:auto val="1"/>
        <c:lblAlgn val="ctr"/>
        <c:lblOffset val="100"/>
        <c:noMultiLvlLbl val="0"/>
      </c:catAx>
      <c:valAx>
        <c:axId val="176446080"/>
        <c:scaling>
          <c:orientation val="minMax"/>
        </c:scaling>
        <c:delete val="0"/>
        <c:axPos val="l"/>
        <c:majorGridlines/>
        <c:title>
          <c:tx>
            <c:rich>
              <a:bodyPr rot="-5400000" vert="horz"/>
              <a:lstStyle/>
              <a:p>
                <a:pPr>
                  <a:defRPr sz="1200">
                    <a:solidFill>
                      <a:schemeClr val="tx1"/>
                    </a:solidFill>
                  </a:defRPr>
                </a:pPr>
                <a:r>
                  <a:rPr lang="en-AU" sz="1200">
                    <a:solidFill>
                      <a:schemeClr val="tx1"/>
                    </a:solidFill>
                  </a:rPr>
                  <a:t>Percentage of responses</a:t>
                </a:r>
              </a:p>
            </c:rich>
          </c:tx>
          <c:overlay val="0"/>
        </c:title>
        <c:numFmt formatCode="0%" sourceLinked="1"/>
        <c:majorTickMark val="out"/>
        <c:minorTickMark val="none"/>
        <c:tickLblPos val="nextTo"/>
        <c:crossAx val="176444160"/>
        <c:crosses val="autoZero"/>
        <c:crossBetween val="between"/>
      </c:valAx>
    </c:plotArea>
    <c:legend>
      <c:legendPos val="r"/>
      <c:layout>
        <c:manualLayout>
          <c:xMode val="edge"/>
          <c:yMode val="edge"/>
          <c:x val="0.7681674584065421"/>
          <c:y val="5.1461293059156678E-2"/>
          <c:w val="0.18469837489902577"/>
          <c:h val="0.29691579782754879"/>
        </c:manualLayout>
      </c:layout>
      <c:overlay val="0"/>
      <c:spPr>
        <a:solidFill>
          <a:sysClr val="window" lastClr="FFFFFF"/>
        </a:solidFill>
      </c:spPr>
    </c:legend>
    <c:plotVisOnly val="1"/>
    <c:dispBlanksAs val="gap"/>
    <c:showDLblsOverMax val="0"/>
  </c:chart>
  <c:spPr>
    <a:solidFill>
      <a:schemeClr val="bg1"/>
    </a:solidFill>
    <a:ln>
      <a:noFill/>
    </a:ln>
  </c:spPr>
  <c:txPr>
    <a:bodyPr/>
    <a:lstStyle/>
    <a:p>
      <a:pPr>
        <a:defRPr sz="1100"/>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bg1">
                <a:lumMod val="85000"/>
              </a:schemeClr>
            </a:solidFill>
          </c:spPr>
          <c:invertIfNegative val="0"/>
          <c:cat>
            <c:strRef>
              <c:f>Sheet1!$B$4:$B$6</c:f>
              <c:strCache>
                <c:ptCount val="3"/>
                <c:pt idx="0">
                  <c:v>Disagree</c:v>
                </c:pt>
                <c:pt idx="1">
                  <c:v>Neutral</c:v>
                </c:pt>
                <c:pt idx="2">
                  <c:v>Agree</c:v>
                </c:pt>
              </c:strCache>
            </c:strRef>
          </c:cat>
          <c:val>
            <c:numRef>
              <c:f>Sheet1!$C$4:$C$6</c:f>
              <c:numCache>
                <c:formatCode>General</c:formatCode>
                <c:ptCount val="3"/>
                <c:pt idx="0">
                  <c:v>4</c:v>
                </c:pt>
                <c:pt idx="1">
                  <c:v>3</c:v>
                </c:pt>
                <c:pt idx="2">
                  <c:v>93</c:v>
                </c:pt>
              </c:numCache>
            </c:numRef>
          </c:val>
        </c:ser>
        <c:dLbls>
          <c:showLegendKey val="0"/>
          <c:showVal val="0"/>
          <c:showCatName val="0"/>
          <c:showSerName val="0"/>
          <c:showPercent val="0"/>
          <c:showBubbleSize val="0"/>
        </c:dLbls>
        <c:gapWidth val="150"/>
        <c:axId val="178288896"/>
        <c:axId val="178319744"/>
      </c:barChart>
      <c:catAx>
        <c:axId val="178288896"/>
        <c:scaling>
          <c:orientation val="minMax"/>
        </c:scaling>
        <c:delete val="0"/>
        <c:axPos val="b"/>
        <c:title>
          <c:tx>
            <c:rich>
              <a:bodyPr/>
              <a:lstStyle/>
              <a:p>
                <a:pPr>
                  <a:defRPr sz="1200"/>
                </a:pPr>
                <a:r>
                  <a:rPr lang="en-US" sz="1200"/>
                  <a:t>Response</a:t>
                </a:r>
              </a:p>
            </c:rich>
          </c:tx>
          <c:overlay val="0"/>
        </c:title>
        <c:majorTickMark val="out"/>
        <c:minorTickMark val="none"/>
        <c:tickLblPos val="nextTo"/>
        <c:crossAx val="178319744"/>
        <c:crosses val="autoZero"/>
        <c:auto val="1"/>
        <c:lblAlgn val="ctr"/>
        <c:lblOffset val="100"/>
        <c:noMultiLvlLbl val="0"/>
      </c:catAx>
      <c:valAx>
        <c:axId val="178319744"/>
        <c:scaling>
          <c:orientation val="minMax"/>
        </c:scaling>
        <c:delete val="0"/>
        <c:axPos val="l"/>
        <c:majorGridlines/>
        <c:title>
          <c:tx>
            <c:rich>
              <a:bodyPr rot="-5400000" vert="horz"/>
              <a:lstStyle/>
              <a:p>
                <a:pPr>
                  <a:defRPr sz="1200"/>
                </a:pPr>
                <a:r>
                  <a:rPr lang="en-US" sz="1200"/>
                  <a:t>Percentage of responses</a:t>
                </a:r>
              </a:p>
            </c:rich>
          </c:tx>
          <c:overlay val="0"/>
        </c:title>
        <c:numFmt formatCode="General" sourceLinked="1"/>
        <c:majorTickMark val="out"/>
        <c:minorTickMark val="none"/>
        <c:tickLblPos val="nextTo"/>
        <c:crossAx val="178288896"/>
        <c:crosses val="autoZero"/>
        <c:crossBetween val="between"/>
        <c:majorUnit val="20"/>
      </c:valAx>
      <c:spPr>
        <a:noFill/>
        <a:ln w="25400">
          <a:noFill/>
        </a:ln>
      </c:spPr>
    </c:plotArea>
    <c:plotVisOnly val="1"/>
    <c:dispBlanksAs val="gap"/>
    <c:showDLblsOverMax val="0"/>
  </c:chart>
  <c:spPr>
    <a:ln>
      <a:noFill/>
    </a:ln>
  </c:spPr>
  <c:txPr>
    <a:bodyPr/>
    <a:lstStyle/>
    <a:p>
      <a:pPr>
        <a:defRPr sz="11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3"/>
          <c:order val="3"/>
          <c:tx>
            <c:strRef>
              <c:f>Sheet1!$A$7</c:f>
              <c:strCache>
                <c:ptCount val="1"/>
                <c:pt idx="0">
                  <c:v>Total</c:v>
                </c:pt>
              </c:strCache>
            </c:strRef>
          </c:tx>
          <c:spPr>
            <a:solidFill>
              <a:schemeClr val="bg1">
                <a:lumMod val="85000"/>
              </a:schemeClr>
            </a:solidFill>
          </c:spPr>
          <c:invertIfNegative val="0"/>
          <c:cat>
            <c:numRef>
              <c:f>Sheet1!$B$3:$H$3</c:f>
              <c:numCache>
                <c:formatCode>General</c:formatCode>
                <c:ptCount val="7"/>
                <c:pt idx="0">
                  <c:v>1</c:v>
                </c:pt>
                <c:pt idx="1">
                  <c:v>2</c:v>
                </c:pt>
                <c:pt idx="2">
                  <c:v>3</c:v>
                </c:pt>
                <c:pt idx="3">
                  <c:v>4</c:v>
                </c:pt>
                <c:pt idx="4">
                  <c:v>5</c:v>
                </c:pt>
                <c:pt idx="5">
                  <c:v>6</c:v>
                </c:pt>
                <c:pt idx="6">
                  <c:v>7</c:v>
                </c:pt>
              </c:numCache>
            </c:numRef>
          </c:cat>
          <c:val>
            <c:numRef>
              <c:f>Sheet1!$B$7:$H$7</c:f>
              <c:numCache>
                <c:formatCode>General</c:formatCode>
                <c:ptCount val="7"/>
                <c:pt idx="0">
                  <c:v>6</c:v>
                </c:pt>
                <c:pt idx="1">
                  <c:v>8</c:v>
                </c:pt>
                <c:pt idx="2">
                  <c:v>5</c:v>
                </c:pt>
                <c:pt idx="3">
                  <c:v>22</c:v>
                </c:pt>
                <c:pt idx="4">
                  <c:v>14</c:v>
                </c:pt>
                <c:pt idx="5">
                  <c:v>17</c:v>
                </c:pt>
                <c:pt idx="6">
                  <c:v>28</c:v>
                </c:pt>
              </c:numCache>
            </c:numRef>
          </c:val>
        </c:ser>
        <c:dLbls>
          <c:showLegendKey val="0"/>
          <c:showVal val="0"/>
          <c:showCatName val="0"/>
          <c:showSerName val="0"/>
          <c:showPercent val="0"/>
          <c:showBubbleSize val="0"/>
        </c:dLbls>
        <c:gapWidth val="150"/>
        <c:axId val="174934656"/>
        <c:axId val="174949120"/>
      </c:barChart>
      <c:lineChart>
        <c:grouping val="standard"/>
        <c:varyColors val="0"/>
        <c:ser>
          <c:idx val="0"/>
          <c:order val="0"/>
          <c:tx>
            <c:strRef>
              <c:f>Sheet1!$A$4</c:f>
              <c:strCache>
                <c:ptCount val="1"/>
                <c:pt idx="0">
                  <c:v>Industry </c:v>
                </c:pt>
              </c:strCache>
            </c:strRef>
          </c:tx>
          <c:marker>
            <c:symbol val="none"/>
          </c:marker>
          <c:cat>
            <c:numRef>
              <c:f>Sheet1!$B$3:$H$3</c:f>
              <c:numCache>
                <c:formatCode>General</c:formatCode>
                <c:ptCount val="7"/>
                <c:pt idx="0">
                  <c:v>1</c:v>
                </c:pt>
                <c:pt idx="1">
                  <c:v>2</c:v>
                </c:pt>
                <c:pt idx="2">
                  <c:v>3</c:v>
                </c:pt>
                <c:pt idx="3">
                  <c:v>4</c:v>
                </c:pt>
                <c:pt idx="4">
                  <c:v>5</c:v>
                </c:pt>
                <c:pt idx="5">
                  <c:v>6</c:v>
                </c:pt>
                <c:pt idx="6">
                  <c:v>7</c:v>
                </c:pt>
              </c:numCache>
            </c:numRef>
          </c:cat>
          <c:val>
            <c:numRef>
              <c:f>Sheet1!$B$4:$H$4</c:f>
              <c:numCache>
                <c:formatCode>General</c:formatCode>
                <c:ptCount val="7"/>
                <c:pt idx="0">
                  <c:v>9</c:v>
                </c:pt>
                <c:pt idx="1">
                  <c:v>6</c:v>
                </c:pt>
                <c:pt idx="2">
                  <c:v>4</c:v>
                </c:pt>
                <c:pt idx="3">
                  <c:v>25</c:v>
                </c:pt>
                <c:pt idx="4">
                  <c:v>13</c:v>
                </c:pt>
                <c:pt idx="5">
                  <c:v>15</c:v>
                </c:pt>
                <c:pt idx="6">
                  <c:v>29</c:v>
                </c:pt>
              </c:numCache>
            </c:numRef>
          </c:val>
          <c:smooth val="0"/>
        </c:ser>
        <c:ser>
          <c:idx val="1"/>
          <c:order val="1"/>
          <c:tx>
            <c:strRef>
              <c:f>Sheet1!$A$5</c:f>
              <c:strCache>
                <c:ptCount val="1"/>
                <c:pt idx="0">
                  <c:v>Government</c:v>
                </c:pt>
              </c:strCache>
            </c:strRef>
          </c:tx>
          <c:marker>
            <c:symbol val="none"/>
          </c:marker>
          <c:cat>
            <c:numRef>
              <c:f>Sheet1!$B$3:$H$3</c:f>
              <c:numCache>
                <c:formatCode>General</c:formatCode>
                <c:ptCount val="7"/>
                <c:pt idx="0">
                  <c:v>1</c:v>
                </c:pt>
                <c:pt idx="1">
                  <c:v>2</c:v>
                </c:pt>
                <c:pt idx="2">
                  <c:v>3</c:v>
                </c:pt>
                <c:pt idx="3">
                  <c:v>4</c:v>
                </c:pt>
                <c:pt idx="4">
                  <c:v>5</c:v>
                </c:pt>
                <c:pt idx="5">
                  <c:v>6</c:v>
                </c:pt>
                <c:pt idx="6">
                  <c:v>7</c:v>
                </c:pt>
              </c:numCache>
            </c:numRef>
          </c:cat>
          <c:val>
            <c:numRef>
              <c:f>Sheet1!$B$5:$H$5</c:f>
              <c:numCache>
                <c:formatCode>General</c:formatCode>
                <c:ptCount val="7"/>
                <c:pt idx="0">
                  <c:v>4</c:v>
                </c:pt>
                <c:pt idx="1">
                  <c:v>13</c:v>
                </c:pt>
                <c:pt idx="2">
                  <c:v>5</c:v>
                </c:pt>
                <c:pt idx="3">
                  <c:v>21</c:v>
                </c:pt>
                <c:pt idx="4">
                  <c:v>11</c:v>
                </c:pt>
                <c:pt idx="5">
                  <c:v>25</c:v>
                </c:pt>
                <c:pt idx="6">
                  <c:v>20</c:v>
                </c:pt>
              </c:numCache>
            </c:numRef>
          </c:val>
          <c:smooth val="0"/>
        </c:ser>
        <c:ser>
          <c:idx val="2"/>
          <c:order val="2"/>
          <c:tx>
            <c:strRef>
              <c:f>Sheet1!$A$6</c:f>
              <c:strCache>
                <c:ptCount val="1"/>
                <c:pt idx="0">
                  <c:v>Community</c:v>
                </c:pt>
              </c:strCache>
            </c:strRef>
          </c:tx>
          <c:marker>
            <c:symbol val="none"/>
          </c:marker>
          <c:cat>
            <c:numRef>
              <c:f>Sheet1!$B$3:$H$3</c:f>
              <c:numCache>
                <c:formatCode>General</c:formatCode>
                <c:ptCount val="7"/>
                <c:pt idx="0">
                  <c:v>1</c:v>
                </c:pt>
                <c:pt idx="1">
                  <c:v>2</c:v>
                </c:pt>
                <c:pt idx="2">
                  <c:v>3</c:v>
                </c:pt>
                <c:pt idx="3">
                  <c:v>4</c:v>
                </c:pt>
                <c:pt idx="4">
                  <c:v>5</c:v>
                </c:pt>
                <c:pt idx="5">
                  <c:v>6</c:v>
                </c:pt>
                <c:pt idx="6">
                  <c:v>7</c:v>
                </c:pt>
              </c:numCache>
            </c:numRef>
          </c:cat>
          <c:val>
            <c:numRef>
              <c:f>Sheet1!$B$6:$H$6</c:f>
              <c:numCache>
                <c:formatCode>General</c:formatCode>
                <c:ptCount val="7"/>
                <c:pt idx="0">
                  <c:v>4</c:v>
                </c:pt>
                <c:pt idx="1">
                  <c:v>2</c:v>
                </c:pt>
                <c:pt idx="2">
                  <c:v>9</c:v>
                </c:pt>
                <c:pt idx="3">
                  <c:v>17</c:v>
                </c:pt>
                <c:pt idx="4">
                  <c:v>22</c:v>
                </c:pt>
                <c:pt idx="5">
                  <c:v>9</c:v>
                </c:pt>
                <c:pt idx="6">
                  <c:v>37</c:v>
                </c:pt>
              </c:numCache>
            </c:numRef>
          </c:val>
          <c:smooth val="0"/>
        </c:ser>
        <c:dLbls>
          <c:showLegendKey val="0"/>
          <c:showVal val="0"/>
          <c:showCatName val="0"/>
          <c:showSerName val="0"/>
          <c:showPercent val="0"/>
          <c:showBubbleSize val="0"/>
        </c:dLbls>
        <c:marker val="1"/>
        <c:smooth val="0"/>
        <c:axId val="174934656"/>
        <c:axId val="174949120"/>
      </c:lineChart>
      <c:catAx>
        <c:axId val="174934656"/>
        <c:scaling>
          <c:orientation val="minMax"/>
        </c:scaling>
        <c:delete val="0"/>
        <c:axPos val="b"/>
        <c:title>
          <c:tx>
            <c:rich>
              <a:bodyPr/>
              <a:lstStyle/>
              <a:p>
                <a:pPr>
                  <a:defRPr/>
                </a:pPr>
                <a:r>
                  <a:rPr lang="en-US" sz="1200"/>
                  <a:t>Response</a:t>
                </a:r>
                <a:r>
                  <a:rPr lang="en-US"/>
                  <a:t/>
                </a:r>
                <a:br>
                  <a:rPr lang="en-US"/>
                </a:br>
                <a:r>
                  <a:rPr lang="en-US"/>
                  <a:t>(1 = stongly disagree; 7 = strongly agree)</a:t>
                </a:r>
              </a:p>
            </c:rich>
          </c:tx>
          <c:overlay val="0"/>
        </c:title>
        <c:numFmt formatCode="General" sourceLinked="1"/>
        <c:majorTickMark val="out"/>
        <c:minorTickMark val="none"/>
        <c:tickLblPos val="nextTo"/>
        <c:crossAx val="174949120"/>
        <c:crosses val="autoZero"/>
        <c:auto val="1"/>
        <c:lblAlgn val="ctr"/>
        <c:lblOffset val="100"/>
        <c:noMultiLvlLbl val="0"/>
      </c:catAx>
      <c:valAx>
        <c:axId val="174949120"/>
        <c:scaling>
          <c:orientation val="minMax"/>
        </c:scaling>
        <c:delete val="0"/>
        <c:axPos val="l"/>
        <c:majorGridlines/>
        <c:title>
          <c:tx>
            <c:rich>
              <a:bodyPr rot="-5400000" vert="horz"/>
              <a:lstStyle/>
              <a:p>
                <a:pPr>
                  <a:defRPr/>
                </a:pPr>
                <a:r>
                  <a:rPr lang="en-US" sz="1200"/>
                  <a:t>Percentage of responses</a:t>
                </a:r>
              </a:p>
            </c:rich>
          </c:tx>
          <c:overlay val="0"/>
        </c:title>
        <c:numFmt formatCode="General" sourceLinked="1"/>
        <c:majorTickMark val="out"/>
        <c:minorTickMark val="none"/>
        <c:tickLblPos val="nextTo"/>
        <c:crossAx val="174934656"/>
        <c:crosses val="autoZero"/>
        <c:crossBetween val="between"/>
      </c:valAx>
    </c:plotArea>
    <c:legend>
      <c:legendPos val="r"/>
      <c:overlay val="0"/>
    </c:legend>
    <c:plotVisOnly val="1"/>
    <c:dispBlanksAs val="gap"/>
    <c:showDLblsOverMax val="0"/>
  </c:chart>
  <c:spPr>
    <a:ln>
      <a:noFill/>
    </a:ln>
  </c:spPr>
  <c:txPr>
    <a:bodyPr/>
    <a:lstStyle/>
    <a:p>
      <a:pPr>
        <a:defRPr sz="11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3"/>
          <c:order val="3"/>
          <c:tx>
            <c:strRef>
              <c:f>Sheet1!$A$35</c:f>
              <c:strCache>
                <c:ptCount val="1"/>
                <c:pt idx="0">
                  <c:v>Total</c:v>
                </c:pt>
              </c:strCache>
            </c:strRef>
          </c:tx>
          <c:spPr>
            <a:solidFill>
              <a:schemeClr val="bg1">
                <a:lumMod val="85000"/>
              </a:schemeClr>
            </a:solidFill>
          </c:spPr>
          <c:invertIfNegative val="0"/>
          <c:dLbls>
            <c:dLblPos val="inBase"/>
            <c:showLegendKey val="0"/>
            <c:showVal val="1"/>
            <c:showCatName val="0"/>
            <c:showSerName val="0"/>
            <c:showPercent val="0"/>
            <c:showBubbleSize val="0"/>
            <c:showLeaderLines val="0"/>
          </c:dLbls>
          <c:val>
            <c:numRef>
              <c:f>Sheet1!$B$35:$G$35</c:f>
              <c:numCache>
                <c:formatCode>0%</c:formatCode>
                <c:ptCount val="6"/>
                <c:pt idx="0">
                  <c:v>1.9230769230769201E-2</c:v>
                </c:pt>
                <c:pt idx="1">
                  <c:v>2.8846153846153799E-2</c:v>
                </c:pt>
                <c:pt idx="2">
                  <c:v>7.0000000000000007E-2</c:v>
                </c:pt>
                <c:pt idx="3">
                  <c:v>0.168269230769231</c:v>
                </c:pt>
                <c:pt idx="4">
                  <c:v>0.21634615384615399</c:v>
                </c:pt>
                <c:pt idx="5">
                  <c:v>0.5</c:v>
                </c:pt>
              </c:numCache>
            </c:numRef>
          </c:val>
        </c:ser>
        <c:dLbls>
          <c:showLegendKey val="0"/>
          <c:showVal val="0"/>
          <c:showCatName val="0"/>
          <c:showSerName val="0"/>
          <c:showPercent val="0"/>
          <c:showBubbleSize val="0"/>
        </c:dLbls>
        <c:gapWidth val="150"/>
        <c:axId val="178306432"/>
        <c:axId val="175642112"/>
      </c:barChart>
      <c:lineChart>
        <c:grouping val="standard"/>
        <c:varyColors val="0"/>
        <c:ser>
          <c:idx val="0"/>
          <c:order val="0"/>
          <c:tx>
            <c:strRef>
              <c:f>Sheet1!$A$32</c:f>
              <c:strCache>
                <c:ptCount val="1"/>
                <c:pt idx="0">
                  <c:v>Industry</c:v>
                </c:pt>
              </c:strCache>
            </c:strRef>
          </c:tx>
          <c:marker>
            <c:symbol val="none"/>
          </c:marker>
          <c:val>
            <c:numRef>
              <c:f>Sheet1!$B$32:$G$32</c:f>
              <c:numCache>
                <c:formatCode>0%</c:formatCode>
                <c:ptCount val="6"/>
                <c:pt idx="0">
                  <c:v>2.2222222222222199E-2</c:v>
                </c:pt>
                <c:pt idx="1">
                  <c:v>1.1111111111111099E-2</c:v>
                </c:pt>
                <c:pt idx="2">
                  <c:v>5.5555555555555497E-2</c:v>
                </c:pt>
                <c:pt idx="3">
                  <c:v>0.16666666666666699</c:v>
                </c:pt>
                <c:pt idx="4">
                  <c:v>0.233333333333333</c:v>
                </c:pt>
                <c:pt idx="5">
                  <c:v>0.51111111111111096</c:v>
                </c:pt>
              </c:numCache>
            </c:numRef>
          </c:val>
          <c:smooth val="0"/>
        </c:ser>
        <c:ser>
          <c:idx val="1"/>
          <c:order val="1"/>
          <c:tx>
            <c:strRef>
              <c:f>Sheet1!$A$33</c:f>
              <c:strCache>
                <c:ptCount val="1"/>
                <c:pt idx="0">
                  <c:v>Government</c:v>
                </c:pt>
              </c:strCache>
            </c:strRef>
          </c:tx>
          <c:marker>
            <c:symbol val="none"/>
          </c:marker>
          <c:val>
            <c:numRef>
              <c:f>Sheet1!$B$33:$G$33</c:f>
              <c:numCache>
                <c:formatCode>0%</c:formatCode>
                <c:ptCount val="6"/>
                <c:pt idx="0">
                  <c:v>2.7397260273972601E-2</c:v>
                </c:pt>
                <c:pt idx="1">
                  <c:v>6.8493150684931503E-2</c:v>
                </c:pt>
                <c:pt idx="2">
                  <c:v>9.5890410958904104E-2</c:v>
                </c:pt>
                <c:pt idx="3">
                  <c:v>0.20547945205479501</c:v>
                </c:pt>
                <c:pt idx="4">
                  <c:v>0.24657534246575299</c:v>
                </c:pt>
                <c:pt idx="5">
                  <c:v>0.35616438356164398</c:v>
                </c:pt>
              </c:numCache>
            </c:numRef>
          </c:val>
          <c:smooth val="0"/>
        </c:ser>
        <c:ser>
          <c:idx val="2"/>
          <c:order val="2"/>
          <c:tx>
            <c:strRef>
              <c:f>Sheet1!$A$34</c:f>
              <c:strCache>
                <c:ptCount val="1"/>
                <c:pt idx="0">
                  <c:v>Community</c:v>
                </c:pt>
              </c:strCache>
            </c:strRef>
          </c:tx>
          <c:marker>
            <c:symbol val="none"/>
          </c:marker>
          <c:val>
            <c:numRef>
              <c:f>Sheet1!$B$34:$G$34</c:f>
              <c:numCache>
                <c:formatCode>0%</c:formatCode>
                <c:ptCount val="6"/>
                <c:pt idx="0">
                  <c:v>0</c:v>
                </c:pt>
                <c:pt idx="1">
                  <c:v>0</c:v>
                </c:pt>
                <c:pt idx="2">
                  <c:v>8.8888888888888906E-2</c:v>
                </c:pt>
                <c:pt idx="3">
                  <c:v>0.11111111111111099</c:v>
                </c:pt>
                <c:pt idx="4">
                  <c:v>0.133333333333333</c:v>
                </c:pt>
                <c:pt idx="5">
                  <c:v>0.66666666666666696</c:v>
                </c:pt>
              </c:numCache>
            </c:numRef>
          </c:val>
          <c:smooth val="0"/>
        </c:ser>
        <c:dLbls>
          <c:showLegendKey val="0"/>
          <c:showVal val="0"/>
          <c:showCatName val="0"/>
          <c:showSerName val="0"/>
          <c:showPercent val="0"/>
          <c:showBubbleSize val="0"/>
        </c:dLbls>
        <c:marker val="1"/>
        <c:smooth val="0"/>
        <c:axId val="178306432"/>
        <c:axId val="175642112"/>
      </c:lineChart>
      <c:catAx>
        <c:axId val="178306432"/>
        <c:scaling>
          <c:orientation val="minMax"/>
        </c:scaling>
        <c:delete val="0"/>
        <c:axPos val="b"/>
        <c:title>
          <c:tx>
            <c:rich>
              <a:bodyPr/>
              <a:lstStyle/>
              <a:p>
                <a:pPr>
                  <a:defRPr/>
                </a:pPr>
                <a:r>
                  <a:rPr lang="en-US" sz="1200"/>
                  <a:t>Response </a:t>
                </a:r>
                <a:r>
                  <a:rPr lang="en-US"/>
                  <a:t/>
                </a:r>
                <a:br>
                  <a:rPr lang="en-US"/>
                </a:br>
                <a:r>
                  <a:rPr lang="en-US"/>
                  <a:t>(1 = not at all an issue; 6 = extremely important issue)</a:t>
                </a:r>
              </a:p>
            </c:rich>
          </c:tx>
          <c:overlay val="0"/>
        </c:title>
        <c:majorTickMark val="out"/>
        <c:minorTickMark val="none"/>
        <c:tickLblPos val="nextTo"/>
        <c:txPr>
          <a:bodyPr/>
          <a:lstStyle/>
          <a:p>
            <a:pPr>
              <a:defRPr sz="1100">
                <a:latin typeface="Calibri" panose="020F0502020204030204" pitchFamily="34" charset="0"/>
              </a:defRPr>
            </a:pPr>
            <a:endParaRPr lang="en-US"/>
          </a:p>
        </c:txPr>
        <c:crossAx val="175642112"/>
        <c:crosses val="autoZero"/>
        <c:auto val="1"/>
        <c:lblAlgn val="ctr"/>
        <c:lblOffset val="100"/>
        <c:noMultiLvlLbl val="0"/>
      </c:catAx>
      <c:valAx>
        <c:axId val="175642112"/>
        <c:scaling>
          <c:orientation val="minMax"/>
        </c:scaling>
        <c:delete val="0"/>
        <c:axPos val="l"/>
        <c:majorGridlines/>
        <c:title>
          <c:tx>
            <c:rich>
              <a:bodyPr rot="-5400000" vert="horz"/>
              <a:lstStyle/>
              <a:p>
                <a:pPr>
                  <a:defRPr sz="1200">
                    <a:solidFill>
                      <a:schemeClr val="tx1"/>
                    </a:solidFill>
                  </a:defRPr>
                </a:pPr>
                <a:r>
                  <a:rPr lang="en-US" sz="1200">
                    <a:solidFill>
                      <a:schemeClr val="tx1"/>
                    </a:solidFill>
                  </a:rPr>
                  <a:t>Percentage of responses</a:t>
                </a:r>
              </a:p>
            </c:rich>
          </c:tx>
          <c:overlay val="0"/>
        </c:title>
        <c:numFmt formatCode="0%" sourceLinked="1"/>
        <c:majorTickMark val="out"/>
        <c:minorTickMark val="none"/>
        <c:tickLblPos val="nextTo"/>
        <c:txPr>
          <a:bodyPr/>
          <a:lstStyle/>
          <a:p>
            <a:pPr>
              <a:defRPr sz="1100"/>
            </a:pPr>
            <a:endParaRPr lang="en-US"/>
          </a:p>
        </c:txPr>
        <c:crossAx val="178306432"/>
        <c:crosses val="autoZero"/>
        <c:crossBetween val="between"/>
      </c:valAx>
    </c:plotArea>
    <c:legend>
      <c:legendPos val="r"/>
      <c:overlay val="0"/>
    </c:legend>
    <c:plotVisOnly val="1"/>
    <c:dispBlanksAs val="gap"/>
    <c:showDLblsOverMax val="0"/>
  </c:chart>
  <c:spPr>
    <a:ln>
      <a:noFill/>
    </a:ln>
  </c:spPr>
  <c:txPr>
    <a:bodyPr/>
    <a:lstStyle/>
    <a:p>
      <a:pPr>
        <a:defRPr sz="105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06B6B9CBD2E3BCEE0530BDC010A1885" version="1.0.0">
  <systemFields>
    <field name="Objective-Id">
      <value order="0">A632143</value>
    </field>
    <field name="Objective-Title">
      <value order="0">WABC stakeholder engagement report 2015</value>
    </field>
    <field name="Objective-Description">
      <value order="0"/>
    </field>
    <field name="Objective-CreationStamp">
      <value order="0">2015-02-18T05:56:59Z</value>
    </field>
    <field name="Objective-IsApproved">
      <value order="0">false</value>
    </field>
    <field name="Objective-IsPublished">
      <value order="0">true</value>
    </field>
    <field name="Objective-DatePublished">
      <value order="0">2017-06-16T02:48:47Z</value>
    </field>
    <field name="Objective-ModificationStamp">
      <value order="0">2017-06-16T02:48:47Z</value>
    </field>
    <field name="Objective-Owner">
      <value order="0">soconnect</value>
    </field>
    <field name="Objective-Path">
      <value order="0">Objective Global Folder:01. DAFWA:1.0 Published - External - Gateway</value>
    </field>
    <field name="Objective-Parent">
      <value order="0">1.0 Published - External - Gateway</value>
    </field>
    <field name="Objective-State">
      <value order="0">Published</value>
    </field>
    <field name="Objective-VersionId">
      <value order="0">vA2538536</value>
    </field>
    <field name="Objective-Version">
      <value order="0">4.0</value>
    </field>
    <field name="Objective-VersionNumber">
      <value order="0">4</value>
    </field>
    <field name="Objective-VersionComment">
      <value order="0"/>
    </field>
    <field name="Objective-FileNumber">
      <value order="0"/>
    </field>
    <field name="Objective-Classification">
      <value order="0">Public</value>
    </field>
    <field name="Objective-Caveats">
      <value order="0"/>
    </field>
  </systemFields>
  <catalogues>
    <catalogue name="Publication Type Catalogue" type="type" ori="id:cA83">
      <field name="Objective-Stored In CMS">
        <value order="0">N</value>
      </field>
      <field name="Objective-CMS Id">
        <value order="0">59001</value>
      </field>
      <field name="Objective-CMS Deleted">
        <value order="0">N</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06B6B9CBD2E3BCEE0530BDC010A1885"/>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34B53D-24FD-4336-AFCB-DF6948DB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10461</Words>
  <Characters>59633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Biosecurity decision-making in Western Australia: roles and responsibilities</vt:lpstr>
    </vt:vector>
  </TitlesOfParts>
  <Company>Andrew Huffer and Associates Pty Ltd</Company>
  <LinksUpToDate>false</LinksUpToDate>
  <CharactersWithSpaces>69955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decision-making in Western Australia: roles and responsibilities</dc:title>
  <dc:subject>Results of stakeholder engagement</dc:subject>
  <dc:creator>Andrew Huffer</dc:creator>
  <cp:lastModifiedBy>rtheath</cp:lastModifiedBy>
  <cp:revision>3</cp:revision>
  <cp:lastPrinted>2015-02-12T00:02:00Z</cp:lastPrinted>
  <dcterms:created xsi:type="dcterms:W3CDTF">2015-02-18T05:15:00Z</dcterms:created>
  <dcterms:modified xsi:type="dcterms:W3CDTF">2015-05-12T05:23:00Z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A632143</vt:lpwstr>
  </property>
  <property fmtid="{D5CDD505-2E9C-101B-9397-08002B2CF9AE}" pid="4" name="Objective-Title">
    <vt:lpwstr>WABC stakeholder engagement report 2015</vt:lpwstr>
  </property>
  <property fmtid="{D5CDD505-2E9C-101B-9397-08002B2CF9AE}" pid="5" name="Objective-Comment">
    <vt:lpwstr/>
  </property>
  <property fmtid="{D5CDD505-2E9C-101B-9397-08002B2CF9AE}" pid="6" name="Objective-CreationStamp">
    <vt:filetime>2015-02-18T05:56:59Z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2017-06-16T02:48:47Z</vt:filetime>
  </property>
  <property fmtid="{D5CDD505-2E9C-101B-9397-08002B2CF9AE}" pid="10" name="Objective-ModificationStamp">
    <vt:filetime>2017-06-16T02:48:47Z</vt:filetime>
  </property>
  <property fmtid="{D5CDD505-2E9C-101B-9397-08002B2CF9AE}" pid="11" name="Objective-Owner">
    <vt:lpwstr>soconnect</vt:lpwstr>
  </property>
  <property fmtid="{D5CDD505-2E9C-101B-9397-08002B2CF9AE}" pid="12" name="Objective-Path">
    <vt:lpwstr>Objective Global Folder:01. DAFWA:1.0 Published - External - Gateway</vt:lpwstr>
  </property>
  <property fmtid="{D5CDD505-2E9C-101B-9397-08002B2CF9AE}" pid="13" name="Objective-Parent">
    <vt:lpwstr>1.0 Published - External - Gateway</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Public</vt:lpwstr>
  </property>
  <property fmtid="{D5CDD505-2E9C-101B-9397-08002B2CF9AE}" pid="20" name="Objective-Caveats">
    <vt:lpwstr/>
  </property>
  <property fmtid="{D5CDD505-2E9C-101B-9397-08002B2CF9AE}" pid="21" name="Objective-CMS Deleted [system]">
    <vt:bool>false</vt:bool>
  </property>
  <property fmtid="{D5CDD505-2E9C-101B-9397-08002B2CF9AE}" pid="22" name="Objective-Stored In CMS [system]">
    <vt:bool>false</vt:bool>
  </property>
  <property fmtid="{D5CDD505-2E9C-101B-9397-08002B2CF9AE}" pid="23" name="Objective-CMS Id [system]">
    <vt:lpwstr>59001</vt:lpwstr>
  </property>
  <property fmtid="{D5CDD505-2E9C-101B-9397-08002B2CF9AE}" pid="24" name="Objective-Description">
    <vt:lpwstr/>
  </property>
  <property fmtid="{D5CDD505-2E9C-101B-9397-08002B2CF9AE}" pid="25" name="Objective-VersionId">
    <vt:lpwstr>vA2538536</vt:lpwstr>
  </property>
  <property fmtid="{D5CDD505-2E9C-101B-9397-08002B2CF9AE}" pid="26" name="Objective-Stored In CMS">
    <vt:lpwstr>N</vt:lpwstr>
  </property>
  <property fmtid="{D5CDD505-2E9C-101B-9397-08002B2CF9AE}" pid="27" name="Objective-CMS Id">
    <vt:lpwstr>59001</vt:lpwstr>
  </property>
  <property fmtid="{D5CDD505-2E9C-101B-9397-08002B2CF9AE}" pid="28" name="Objective-CMS Deleted">
    <vt:lpwstr>N</vt:lpwstr>
  </property>
</Properties>
</file>